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0D4D" w14:textId="77777777" w:rsidR="00FE02EF" w:rsidRPr="00FE02EF" w:rsidRDefault="00FE02EF" w:rsidP="00FE02EF">
      <w:pPr>
        <w:keepNext/>
        <w:keepLines/>
        <w:spacing w:before="720" w:after="840" w:line="259" w:lineRule="auto"/>
        <w:jc w:val="center"/>
        <w:outlineLvl w:val="0"/>
        <w:rPr>
          <w:rFonts w:ascii="Amiri" w:eastAsia="Times New Roman" w:hAnsi="Amiri" w:cs="Times New Roman"/>
          <w:b/>
          <w:kern w:val="0"/>
          <w:sz w:val="32"/>
          <w:szCs w:val="32"/>
          <w14:ligatures w14:val="none"/>
        </w:rPr>
      </w:pPr>
      <w:bookmarkStart w:id="0" w:name="_Toc158572612"/>
      <w:bookmarkStart w:id="1" w:name="_Toc182317501"/>
      <w:r w:rsidRPr="00FE02EF">
        <w:rPr>
          <w:rFonts w:ascii="Amiri" w:eastAsia="Times New Roman" w:hAnsi="Amiri" w:cs="Times New Roman"/>
          <w:b/>
          <w:kern w:val="0"/>
          <w:sz w:val="32"/>
          <w:szCs w:val="32"/>
          <w14:ligatures w14:val="none"/>
        </w:rPr>
        <w:t>Streszczenie</w:t>
      </w:r>
      <w:bookmarkEnd w:id="0"/>
      <w:bookmarkEnd w:id="1"/>
    </w:p>
    <w:p w14:paraId="2D441AA4" w14:textId="77777777" w:rsidR="00FE02EF" w:rsidRPr="00FE02EF" w:rsidRDefault="00FE02EF" w:rsidP="00FE02EF">
      <w:pPr>
        <w:spacing w:after="0" w:line="276" w:lineRule="auto"/>
        <w:ind w:firstLine="709"/>
        <w:jc w:val="both"/>
        <w:rPr>
          <w:rFonts w:ascii="Amiri" w:eastAsia="Calibri" w:hAnsi="Amiri" w:cs="Amiri"/>
          <w:kern w:val="0"/>
          <w14:ligatures w14:val="none"/>
        </w:rPr>
      </w:pPr>
      <w:r w:rsidRPr="00FE02EF">
        <w:rPr>
          <w:rFonts w:ascii="Amiri" w:eastAsia="Calibri" w:hAnsi="Amiri" w:cs="Amiri"/>
          <w:kern w:val="0"/>
          <w14:ligatures w14:val="none"/>
        </w:rPr>
        <w:t xml:space="preserve">Sposób żywienia wcześniaków na wczesnym etapie życia wpływa nie tylko na ich wzrastanie i krótkoterminową chorobowość, ale też na odległe wyniki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neurorozwojowe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oraz stan zdrowia w życiu dorosłym. W okresie wprowadzania i stopniowego zwiększania żywienia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enteralnego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składniki odżywcze dostarczane są również drogą dożylną przez cewnik centralny. Ponieważ stosowanie cewników centralnych wiąże się z ryzykiem groźnych dla życia powikłań, ich użycie należy zawsze rozpatrywać w kontekście potencjalnych korzyści i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narażeń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>.</w:t>
      </w:r>
    </w:p>
    <w:p w14:paraId="28BECCFD" w14:textId="77777777" w:rsidR="00FE02EF" w:rsidRPr="00FE02EF" w:rsidRDefault="00FE02EF" w:rsidP="00FE02EF">
      <w:pPr>
        <w:spacing w:after="0" w:line="276" w:lineRule="auto"/>
        <w:ind w:firstLine="709"/>
        <w:jc w:val="both"/>
        <w:rPr>
          <w:rFonts w:ascii="Amiri" w:eastAsia="Calibri" w:hAnsi="Amiri" w:cs="Amiri"/>
          <w:kern w:val="0"/>
          <w14:ligatures w14:val="none"/>
        </w:rPr>
      </w:pPr>
      <w:r w:rsidRPr="00FE02EF">
        <w:rPr>
          <w:rFonts w:ascii="Amiri" w:eastAsia="Calibri" w:hAnsi="Amiri" w:cs="Amiri"/>
          <w:kern w:val="0"/>
          <w14:ligatures w14:val="none"/>
        </w:rPr>
        <w:t>Celem cyklu powiązanych tematycznie publikacji tworzących rozprawę była ocena prób optymalizacji zastosowania cewników centralnych do prowadzenia żywienia pozajelitowego u noworodków urodzonych przedwcześnie.</w:t>
      </w:r>
    </w:p>
    <w:p w14:paraId="3ACABD5C" w14:textId="77777777" w:rsidR="00FE02EF" w:rsidRPr="00FE02EF" w:rsidRDefault="00FE02EF" w:rsidP="00FE02EF">
      <w:pPr>
        <w:spacing w:after="0" w:line="276" w:lineRule="auto"/>
        <w:ind w:firstLine="709"/>
        <w:jc w:val="both"/>
        <w:rPr>
          <w:rFonts w:ascii="Amiri" w:eastAsia="Calibri" w:hAnsi="Amiri" w:cs="Amiri"/>
          <w:kern w:val="0"/>
          <w14:ligatures w14:val="none"/>
        </w:rPr>
      </w:pPr>
      <w:r w:rsidRPr="00FE02EF">
        <w:rPr>
          <w:rFonts w:ascii="Amiri" w:eastAsia="Calibri" w:hAnsi="Amiri" w:cs="Amiri"/>
          <w:kern w:val="0"/>
          <w14:ligatures w14:val="none"/>
        </w:rPr>
        <w:t xml:space="preserve">W pierwszej pracy zbioru retrospektywnie przeanalizowano dane dotyczące cewników centralnych w grupie 169 noworodków leczonych na jednym z warszawskich oddziałów intensywnej terapii w 2011 roku </w:t>
      </w:r>
      <w:r w:rsidRPr="00FE02EF">
        <w:rPr>
          <w:rFonts w:ascii="Amiri" w:eastAsia="Calibri" w:hAnsi="Amiri" w:cs="Amiri"/>
          <w:b/>
          <w:bCs/>
          <w:kern w:val="0"/>
          <w14:ligatures w14:val="none"/>
        </w:rPr>
        <w:t>(Standardy Medyczne/Pediatria</w:t>
      </w:r>
      <w:r w:rsidRPr="00FE02EF">
        <w:rPr>
          <w:rFonts w:ascii="Amiri" w:eastAsia="Calibri" w:hAnsi="Amiri" w:cs="Amiri"/>
          <w:kern w:val="0"/>
          <w14:ligatures w14:val="none"/>
        </w:rPr>
        <w:t xml:space="preserve">. </w:t>
      </w:r>
      <w:r w:rsidRPr="00FE02EF">
        <w:rPr>
          <w:rFonts w:ascii="Amiri" w:eastAsia="Calibri" w:hAnsi="Amiri" w:cs="Amiri"/>
          <w:b/>
          <w:bCs/>
          <w:kern w:val="0"/>
          <w14:ligatures w14:val="none"/>
        </w:rPr>
        <w:t>2014;11:593–600)</w:t>
      </w:r>
      <w:r w:rsidRPr="00FE02EF">
        <w:rPr>
          <w:rFonts w:ascii="Amiri" w:eastAsia="Calibri" w:hAnsi="Amiri" w:cs="Amiri"/>
          <w:kern w:val="0"/>
          <w14:ligatures w14:val="none"/>
        </w:rPr>
        <w:t>. Uzyskane wyniki porównano z danymi z rejestru zakażeń szpitalnych w Stanach Zjednoczonych (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National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Healthcare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Safety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Network), stwierdzając kilkukrotnie wyższą częstość zakażeń odcewnikowych (ang. </w:t>
      </w:r>
      <w:r w:rsidRPr="00FE02EF">
        <w:rPr>
          <w:rFonts w:ascii="Amiri" w:eastAsia="Calibri" w:hAnsi="Amiri" w:cs="Amiri"/>
          <w:i/>
          <w:iCs/>
          <w:kern w:val="0"/>
          <w14:ligatures w14:val="none"/>
        </w:rPr>
        <w:t xml:space="preserve">central </w:t>
      </w:r>
      <w:proofErr w:type="spellStart"/>
      <w:r w:rsidRPr="00FE02EF">
        <w:rPr>
          <w:rFonts w:ascii="Amiri" w:eastAsia="Calibri" w:hAnsi="Amiri" w:cs="Amiri"/>
          <w:i/>
          <w:iCs/>
          <w:kern w:val="0"/>
          <w14:ligatures w14:val="none"/>
        </w:rPr>
        <w:t>line-associated</w:t>
      </w:r>
      <w:proofErr w:type="spellEnd"/>
      <w:r w:rsidRPr="00FE02EF">
        <w:rPr>
          <w:rFonts w:ascii="Amiri" w:eastAsia="Calibri" w:hAnsi="Amiri" w:cs="Amiri"/>
          <w:i/>
          <w:iCs/>
          <w:kern w:val="0"/>
          <w14:ligatures w14:val="none"/>
        </w:rPr>
        <w:t xml:space="preserve"> </w:t>
      </w:r>
      <w:proofErr w:type="spellStart"/>
      <w:r w:rsidRPr="00FE02EF">
        <w:rPr>
          <w:rFonts w:ascii="Amiri" w:eastAsia="Calibri" w:hAnsi="Amiri" w:cs="Amiri"/>
          <w:i/>
          <w:iCs/>
          <w:kern w:val="0"/>
          <w14:ligatures w14:val="none"/>
        </w:rPr>
        <w:t>bloodstream</w:t>
      </w:r>
      <w:proofErr w:type="spellEnd"/>
      <w:r w:rsidRPr="00FE02EF">
        <w:rPr>
          <w:rFonts w:ascii="Amiri" w:eastAsia="Calibri" w:hAnsi="Amiri" w:cs="Amiri"/>
          <w:i/>
          <w:iCs/>
          <w:kern w:val="0"/>
          <w14:ligatures w14:val="none"/>
        </w:rPr>
        <w:t xml:space="preserve"> </w:t>
      </w:r>
      <w:proofErr w:type="spellStart"/>
      <w:r w:rsidRPr="00FE02EF">
        <w:rPr>
          <w:rFonts w:ascii="Amiri" w:eastAsia="Calibri" w:hAnsi="Amiri" w:cs="Amiri"/>
          <w:i/>
          <w:iCs/>
          <w:kern w:val="0"/>
          <w14:ligatures w14:val="none"/>
        </w:rPr>
        <w:t>infection</w:t>
      </w:r>
      <w:proofErr w:type="spellEnd"/>
      <w:r w:rsidRPr="00FE02EF">
        <w:rPr>
          <w:rFonts w:ascii="Amiri" w:eastAsia="Calibri" w:hAnsi="Amiri" w:cs="Amiri"/>
          <w:i/>
          <w:iCs/>
          <w:kern w:val="0"/>
          <w14:ligatures w14:val="none"/>
        </w:rPr>
        <w:t xml:space="preserve">, </w:t>
      </w:r>
      <w:r w:rsidRPr="00FE02EF">
        <w:rPr>
          <w:rFonts w:ascii="Amiri" w:eastAsia="Calibri" w:hAnsi="Amiri" w:cs="Amiri"/>
          <w:kern w:val="0"/>
          <w14:ligatures w14:val="none"/>
        </w:rPr>
        <w:t xml:space="preserve">CLABSI). Publikację uzupełniono o przegląd strategii zapobiegania CLABSI, obejmujących m.in. minimalizację czasu utrzymywania cewnika centralnego przez usuwanie go przed osiągnięciem pełnej podaży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enteralnej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. W analizowanej grupie pacjentów podaż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enteralna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w momencie usuwania cewnika wyniosła średnio 138 ml/kg/dobę, przekraczając zalecaną przez ekspertów podaż 100–120 ml/kg/dobę. Wysunięto przypuszczenie, że obawa przed negatywnym wpływem usuwania cewnika centralnego przed osiągnięciem pełnej podaży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enteralnej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na wzrastanie wcześniaków, wynikająca z braku dowodów naukowych na bezpieczeństwo tej strategii, może skutkować niechęcią do zastosowania jej w praktyce. W związku z powyższym zaplanowano wieloośrodkowe badanie z randomizacją porównujące usuwanie cewnika przy niższej i wyższej </w:t>
      </w:r>
      <w:r w:rsidRPr="00FE02EF">
        <w:rPr>
          <w:rFonts w:ascii="Amiri" w:eastAsia="Calibri" w:hAnsi="Amiri" w:cs="Amiri"/>
          <w:kern w:val="0"/>
          <w14:ligatures w14:val="none"/>
        </w:rPr>
        <w:lastRenderedPageBreak/>
        <w:t xml:space="preserve">podaży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enteralnej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w odniesieniu do wzrastania wcześniaków w trakcie ich hospitalizacji. Badanie przeprowadzono zgodnie z opublikowanym protokołem, będącym drugą pracą zbioru </w:t>
      </w:r>
      <w:r w:rsidRPr="00FE02EF">
        <w:rPr>
          <w:rFonts w:ascii="Amiri" w:eastAsia="Calibri" w:hAnsi="Amiri" w:cs="Amiri"/>
          <w:b/>
          <w:bCs/>
          <w:kern w:val="0"/>
          <w14:ligatures w14:val="none"/>
        </w:rPr>
        <w:t>(BMJ Open</w:t>
      </w:r>
      <w:r w:rsidRPr="00FE02EF">
        <w:rPr>
          <w:rFonts w:ascii="Amiri" w:eastAsia="Calibri" w:hAnsi="Amiri" w:cs="Amiri"/>
          <w:kern w:val="0"/>
          <w14:ligatures w14:val="none"/>
        </w:rPr>
        <w:t xml:space="preserve">. </w:t>
      </w:r>
      <w:r w:rsidRPr="00FE02EF">
        <w:rPr>
          <w:rFonts w:ascii="Amiri" w:eastAsia="Calibri" w:hAnsi="Amiri" w:cs="Amiri"/>
          <w:b/>
          <w:bCs/>
          <w:kern w:val="0"/>
          <w14:ligatures w14:val="none"/>
        </w:rPr>
        <w:t>2019;9(9):e030167)</w:t>
      </w:r>
      <w:r w:rsidRPr="00FE02EF">
        <w:rPr>
          <w:rFonts w:ascii="Amiri" w:eastAsia="Calibri" w:hAnsi="Amiri" w:cs="Amiri"/>
          <w:kern w:val="0"/>
          <w14:ligatures w14:val="none"/>
        </w:rPr>
        <w:t xml:space="preserve">. Założono, że do uznania praktyki usuwania cewnika centralnego przy niższej podaży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enteralnej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za bezpieczną wystarczy wykazanie, że takie postępowanie nie wpływa negatywnie na wzrastanie wcześniaków (badanie typu </w:t>
      </w:r>
      <w:r w:rsidRPr="00FE02EF">
        <w:rPr>
          <w:rFonts w:ascii="Amiri" w:eastAsia="Calibri" w:hAnsi="Amiri" w:cs="Amiri"/>
          <w:i/>
          <w:iCs/>
          <w:kern w:val="0"/>
          <w14:ligatures w14:val="none"/>
        </w:rPr>
        <w:t>non-</w:t>
      </w:r>
      <w:proofErr w:type="spellStart"/>
      <w:r w:rsidRPr="00FE02EF">
        <w:rPr>
          <w:rFonts w:ascii="Amiri" w:eastAsia="Calibri" w:hAnsi="Amiri" w:cs="Amiri"/>
          <w:i/>
          <w:iCs/>
          <w:kern w:val="0"/>
          <w14:ligatures w14:val="none"/>
        </w:rPr>
        <w:t>inferiority</w:t>
      </w:r>
      <w:proofErr w:type="spellEnd"/>
      <w:r w:rsidRPr="00FE02EF">
        <w:rPr>
          <w:rFonts w:ascii="Amiri" w:eastAsia="Calibri" w:hAnsi="Amiri" w:cs="Amiri"/>
          <w:i/>
          <w:iCs/>
          <w:kern w:val="0"/>
          <w14:ligatures w14:val="none"/>
        </w:rPr>
        <w:t xml:space="preserve">, </w:t>
      </w:r>
      <w:r w:rsidRPr="00FE02EF">
        <w:rPr>
          <w:rFonts w:ascii="Amiri" w:eastAsia="Calibri" w:hAnsi="Amiri" w:cs="Amiri"/>
          <w:kern w:val="0"/>
          <w14:ligatures w14:val="none"/>
        </w:rPr>
        <w:t xml:space="preserve">czyli „nie mniejszej skuteczności”). Wyniki badania przedstawione zostały w trzeciej pracy zbioru </w:t>
      </w:r>
      <w:r w:rsidRPr="00FE02EF">
        <w:rPr>
          <w:rFonts w:ascii="Amiri" w:eastAsia="Calibri" w:hAnsi="Amiri" w:cs="Amiri"/>
          <w:b/>
          <w:bCs/>
          <w:kern w:val="0"/>
          <w14:ligatures w14:val="none"/>
        </w:rPr>
        <w:t>(</w:t>
      </w:r>
      <w:proofErr w:type="spellStart"/>
      <w:r w:rsidRPr="00FE02EF">
        <w:rPr>
          <w:rFonts w:ascii="Amiri" w:eastAsia="Calibri" w:hAnsi="Amiri" w:cs="Amiri"/>
          <w:b/>
          <w:bCs/>
          <w:kern w:val="0"/>
          <w14:ligatures w14:val="none"/>
        </w:rPr>
        <w:t>Nutrients</w:t>
      </w:r>
      <w:proofErr w:type="spellEnd"/>
      <w:r w:rsidRPr="00FE02EF">
        <w:rPr>
          <w:rFonts w:ascii="Amiri" w:eastAsia="Calibri" w:hAnsi="Amiri" w:cs="Amiri"/>
          <w:b/>
          <w:bCs/>
          <w:kern w:val="0"/>
          <w14:ligatures w14:val="none"/>
        </w:rPr>
        <w:t>. 2022;14(22):4766)</w:t>
      </w:r>
      <w:r w:rsidRPr="00FE02EF">
        <w:rPr>
          <w:rFonts w:ascii="Amiri" w:eastAsia="Calibri" w:hAnsi="Amiri" w:cs="Amiri"/>
          <w:kern w:val="0"/>
          <w14:ligatures w14:val="none"/>
        </w:rPr>
        <w:t xml:space="preserve">. W toku badania, w latach 2019–2022, 211 noworodków z urodzeniową masą ciała &lt;1500 g zostało losowo przydzielonych do jednej z dwóch grup. W grupie eksperymentalnej cewnik centralny usuwano w momencie osiągnięcia podaży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enteralnej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</w:t>
      </w:r>
      <w:r w:rsidRPr="00FE02EF">
        <w:rPr>
          <w:rFonts w:ascii="Times New Roman" w:eastAsia="Calibri" w:hAnsi="Times New Roman" w:cs="Times New Roman"/>
          <w:kern w:val="0"/>
          <w14:ligatures w14:val="none"/>
        </w:rPr>
        <w:t>≥</w:t>
      </w:r>
      <w:r w:rsidRPr="00FE02EF">
        <w:rPr>
          <w:rFonts w:ascii="Amiri" w:eastAsia="Calibri" w:hAnsi="Amiri" w:cs="Amiri"/>
          <w:kern w:val="0"/>
          <w14:ligatures w14:val="none"/>
        </w:rPr>
        <w:t xml:space="preserve">100 ml/kg/dobę, w grupie kontrolnej – w momencie osiągnięcia podaży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enteralnej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</w:t>
      </w:r>
      <w:r w:rsidRPr="00FE02EF">
        <w:rPr>
          <w:rFonts w:ascii="Times New Roman" w:eastAsia="Calibri" w:hAnsi="Times New Roman" w:cs="Times New Roman"/>
          <w:kern w:val="0"/>
          <w14:ligatures w14:val="none"/>
        </w:rPr>
        <w:t>≥</w:t>
      </w:r>
      <w:r w:rsidRPr="00FE02EF">
        <w:rPr>
          <w:rFonts w:ascii="Amiri" w:eastAsia="Calibri" w:hAnsi="Amiri" w:cs="Amiri"/>
          <w:kern w:val="0"/>
          <w14:ligatures w14:val="none"/>
        </w:rPr>
        <w:t xml:space="preserve">140 ml/kg/dobę. Pierwotnym punktem końcowym była masa ciała pacjentów oceniana w wieku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postmenstruacyjnym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36 tygodni. Na podstawie analizy przeprowadzonej zgodnie z zaplanowanym leczeniem stwierdzono podobną masę ciała pacjentów w ocenianym punkcie czasowym, tj. 2232 g i 2200 g odpowiednio w grupie eksperymentalnej i kontrolnej. Średnia różnica w masie ciała między grupami wyniosła 32 g (95% CI, od −68 do 132; p = 0,531) i nie przekroczyła założonego marginesu nieistotności, ustanowionego na poziomie −210 g. Również w odniesieniu do większości wtórnych punktów końcowych, w tym zdarzeń niepożądanych związanych z zastosowaną interwencją, wyniki w obu grupach były podobne.</w:t>
      </w:r>
    </w:p>
    <w:p w14:paraId="0ECF35C9" w14:textId="77777777" w:rsidR="00FE02EF" w:rsidRPr="00FE02EF" w:rsidRDefault="00FE02EF" w:rsidP="00FE02EF">
      <w:pPr>
        <w:spacing w:after="0" w:line="276" w:lineRule="auto"/>
        <w:ind w:firstLine="709"/>
        <w:jc w:val="both"/>
        <w:rPr>
          <w:rFonts w:ascii="Amiri" w:eastAsia="Calibri" w:hAnsi="Amiri" w:cs="Amiri"/>
          <w:kern w:val="0"/>
          <w14:ligatures w14:val="none"/>
        </w:rPr>
      </w:pPr>
      <w:r w:rsidRPr="00FE02EF">
        <w:rPr>
          <w:rFonts w:ascii="Amiri" w:eastAsia="Calibri" w:hAnsi="Amiri" w:cs="Amiri"/>
          <w:kern w:val="0"/>
          <w14:ligatures w14:val="none"/>
        </w:rPr>
        <w:t xml:space="preserve">Podsumowując, wykazano, że usuwanie cewnika centralnego założonego celem prowadzenia żywienia pozajelitowego przed osiągnięciem pełnej podaży </w:t>
      </w:r>
      <w:proofErr w:type="spellStart"/>
      <w:r w:rsidRPr="00FE02EF">
        <w:rPr>
          <w:rFonts w:ascii="Amiri" w:eastAsia="Calibri" w:hAnsi="Amiri" w:cs="Amiri"/>
          <w:kern w:val="0"/>
          <w14:ligatures w14:val="none"/>
        </w:rPr>
        <w:t>enteralnej</w:t>
      </w:r>
      <w:proofErr w:type="spellEnd"/>
      <w:r w:rsidRPr="00FE02EF">
        <w:rPr>
          <w:rFonts w:ascii="Amiri" w:eastAsia="Calibri" w:hAnsi="Amiri" w:cs="Amiri"/>
          <w:kern w:val="0"/>
          <w14:ligatures w14:val="none"/>
        </w:rPr>
        <w:t xml:space="preserve"> nie wpływa negatywnie na wzrastanie wcześniaków do momentu wypisu ze szpitala.</w:t>
      </w:r>
    </w:p>
    <w:p w14:paraId="6174D984" w14:textId="4CA423B3" w:rsidR="001F7F27" w:rsidRPr="00FE02EF" w:rsidRDefault="001F7F27" w:rsidP="00FE02EF">
      <w:pPr>
        <w:spacing w:line="259" w:lineRule="auto"/>
        <w:rPr>
          <w:rFonts w:ascii="Amiri" w:eastAsia="Calibri" w:hAnsi="Amiri" w:cs="Amiri"/>
          <w:b/>
          <w:bCs/>
          <w:kern w:val="0"/>
          <w:sz w:val="32"/>
          <w:szCs w:val="32"/>
          <w:highlight w:val="yellow"/>
          <w14:ligatures w14:val="none"/>
        </w:rPr>
      </w:pPr>
    </w:p>
    <w:sectPr w:rsidR="001F7F27" w:rsidRPr="00F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iri">
    <w:panose1 w:val="00000500000000000000"/>
    <w:charset w:val="EE"/>
    <w:family w:val="auto"/>
    <w:pitch w:val="variable"/>
    <w:sig w:usb0="A000206F" w:usb1="82002043" w:usb2="00000008" w:usb3="00000000" w:csb0="000000D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27"/>
    <w:rsid w:val="001F7F27"/>
    <w:rsid w:val="00F97845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CD47"/>
  <w15:chartTrackingRefBased/>
  <w15:docId w15:val="{4262FDF6-070E-4065-A9FA-33A14017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7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7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7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7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7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7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7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7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F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7F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7F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7F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7F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F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7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7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7F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7F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7F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7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7F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7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Romańska</dc:creator>
  <cp:keywords/>
  <dc:description/>
  <cp:lastModifiedBy>Justyna Romańska</cp:lastModifiedBy>
  <cp:revision>2</cp:revision>
  <dcterms:created xsi:type="dcterms:W3CDTF">2025-01-17T09:01:00Z</dcterms:created>
  <dcterms:modified xsi:type="dcterms:W3CDTF">2025-01-17T09:02:00Z</dcterms:modified>
</cp:coreProperties>
</file>