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STRESZCZENIE W JĘZYKU POLSKIM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Usta są istotnym elementem estetycznym twarzy, co czyni zabiegi ich powiększania i modelowania jednymi z najczęściej wykonywanych procedur w chirurgii estetycznej. Atrakcyjność ust, choć subiektywna w ocenie, ma duży wpływ na ogólną percepcję twarzy, co skłania do poszukiwania uniwersalnych norm estetycznych. W tym celu stosuje się różne subiektywne jak i obiektywne metody pomiarowe, które ze względu na znaczące rozbieżności wyników nie zapewniają dostatecznego poziomu wiarygodności. Do tej</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pory nieprzeprowadzone zostały badania uwzględniające i porównujące wyniki ze wszystkich dostępnych metod pomiarowych. Przyjęte normy morfometryczne opierają się głównie na pracach z lat 90 XX i początku XXI wieku, co wskazuje na potrzebę ich aktualizacji i ustalenia współczesnych rzetelnych norm antropometrycznych dla typowej populacji kaukaskiej, które będą stanowić wiarygodne źródło odniesienia dla chirurgii estetycznej względem dynamicznych zmian kulturowych i zmieniających się standardów estetycznych.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Celem rozprawy jest podsumowanie obecnie istniejących norm antropometrycznych dolnej jednej trzeciej twarzy i ust dla dorosłych przedstawicieli rasy kaukaskiej. Dodatkowo praca ma na celu ustalenie cech morfometrycznych estetycznego dolnego piętra twarzy dla młodych kobiet rasy kaukaskiej ze szczególnym naciskiem na kształt czerwieni wargowej.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Wyniki przeprowadzonej pracy przedstawiono w ramach cyklu publikacji. Pierwszą pracę z cyklu stanowi przegląd systematyczny bazujący na szczegółowej metaanalizie tematycznych publikacji naukowych zatytułowany </w:t>
      </w:r>
      <w:r w:rsidDel="00000000" w:rsidR="00000000" w:rsidRPr="00000000">
        <w:rPr>
          <w:rFonts w:ascii="Times New Roman" w:cs="Times New Roman" w:eastAsia="Times New Roman" w:hAnsi="Times New Roman"/>
          <w:i w:val="1"/>
          <w:sz w:val="24"/>
          <w:szCs w:val="24"/>
          <w:rtl w:val="0"/>
        </w:rPr>
        <w:t xml:space="preserve">„Anthropometry and Current Aesthetic Concept of the Lower Third of the Face and Lips in Caucasian Adult Population: A Systematic Review and Meta-Analysis”.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Do przeglądu włączono 70 badań zawierających oryginalne dane antropometryczne dolnej jednej trzeciej twarzy dla populacji rasy kaukaskiej, które poddano zbiorczej analizie pod kątem danych ilościowych i podsumowano zawarte w nich wnioski.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Przeanalizowane publikacje wykorzystywały różne metody pomiarowe (m.in. antropometrię bezpośrednią, fotogrametrię, obrazowanie 3D). Zwrócono uwagę na znaczną asymetrię twarzy między lewą a prawą stroną u obu płci, a także zaminy zachodzące w procesie starzenia. Szczególną uwagę zwrócono na morfometrię populacji postrzeganej za atrakcyjną. Do metaanalizy włączono 12 antropometrycznych parametrów, które zostały prawidłowo zaprezentowane w co najmniej pięciu z analizowanych badań i przedstawiono jej wyniki liczbowe. Wykazano, że niektóre parametry, takie jak wysokość czerwieni wargowej, nie różnią się znacząco między płciami, co jest sprzeczne z wcześniejszymi doniesieniami literatury. Dodatkowo ocenie statystycznej poddano</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zmienność wyników w zależności od wykorzystanej metody pomiaru.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Wyżej przedstawiona praca badawcza stanowi pierwszą opublikowaną próbę dokonania kompleksowego przegląd systematycznego oraz metaanalizy dostępnych danych na wspomniany temat.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Druga praca wchodząca w skład cyklu będącego podstawą rozprawy doktorskiej, zatytułowana </w:t>
      </w:r>
      <w:r w:rsidDel="00000000" w:rsidR="00000000" w:rsidRPr="00000000">
        <w:rPr>
          <w:rFonts w:ascii="Times New Roman" w:cs="Times New Roman" w:eastAsia="Times New Roman" w:hAnsi="Times New Roman"/>
          <w:i w:val="1"/>
          <w:sz w:val="24"/>
          <w:szCs w:val="24"/>
          <w:rtl w:val="0"/>
        </w:rPr>
        <w:t xml:space="preserve">„The Concept of Ideal Lips of Caucasian Female: An Anthropometric Analysis of the Lower Third of the Face”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przedstawia wyniki badania oryginalnego, obejmującego półautomatyczną analizę fotogrametryczną dolnego piętra twarzy i ust przeprowadzoną na podstawie wystandaryzowanych fotografii 400 profesjonalnych modelek rasy kaukaskiej. Analizę przeprowadzono za pomocą specjalistycznego oprogramowania A.I.D., które umożliwia standaryzowaną ocenę cyfrową morfometrii twarzy. Osiągnięciem opisywanego badania wartym odnotowania było wygenerowanie obrazu twarzy w postaci graficznego parametru ABC (ang. </w:t>
      </w:r>
      <w:r w:rsidDel="00000000" w:rsidR="00000000" w:rsidRPr="00000000">
        <w:rPr>
          <w:rFonts w:ascii="Times New Roman" w:cs="Times New Roman" w:eastAsia="Times New Roman" w:hAnsi="Times New Roman"/>
          <w:i w:val="1"/>
          <w:sz w:val="24"/>
          <w:szCs w:val="24"/>
          <w:rtl w:val="0"/>
        </w:rPr>
        <w:t xml:space="preserve">Average Body Contours</w:t>
      </w:r>
      <w:r w:rsidDel="00000000" w:rsidR="00000000" w:rsidRPr="00000000">
        <w:rPr>
          <w:rFonts w:ascii="Times New Roman" w:cs="Times New Roman" w:eastAsia="Times New Roman" w:hAnsi="Times New Roman"/>
          <w:sz w:val="24"/>
          <w:szCs w:val="24"/>
          <w:rtl w:val="0"/>
        </w:rPr>
        <w:t xml:space="preserve">), przedstawiającego uśredniony kontur linii szczęki i ust atrakcyjnej kobiety rasy kaukaskiej. Wyniki badania mogą znaleźć kliniczne zastosowanie w planowaniu estetycznych i rekonstrukcyjnych zabiegów chirurgicznych twarzy, szczególnie w kontekście korekty wyglądu ust i dolnej części twarzy.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36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360" w:lineRule="auto"/>
        <w:ind w:firstLine="720"/>
        <w:jc w:val="both"/>
        <w:rPr/>
      </w:pPr>
      <w:r w:rsidDel="00000000" w:rsidR="00000000" w:rsidRPr="00000000">
        <w:rPr>
          <w:rFonts w:ascii="Times New Roman" w:cs="Times New Roman" w:eastAsia="Times New Roman" w:hAnsi="Times New Roman"/>
          <w:sz w:val="24"/>
          <w:szCs w:val="24"/>
          <w:rtl w:val="0"/>
        </w:rPr>
        <w:t xml:space="preserve">Podsumowując, praca przedstawiona w ramach cyklu publikacji, wchodzącego w skład rozprawy doktorskiej, przedstawia metaanalizę największego dotychczas materiału danych pochodzących z 70 pierwotnych badań antropometrycznych dolnej jednej trzeciej twarzy oraz ust zdrowej populacji kaukaskiej. Obejmuje ona metaanalizę 12 kluczowych klinicznie parametrów dolnego piętra twarzy oraz podsumowanie danych dla 35  z pozostałych pozyskanych parametrów. Dodatkowo w skład cyklu prac wchodzi publikacja przedstawiająca kompleksową analizę morfometryczną twarzy na podstawie aż 400 fotografii atrakcyjnych kobiet, co czyni to badanie największym w swojej tematyce. Wyniki przedstawione w postaci innowacyjnego parametru obrazowego ABC posłużyły do stworzenia pierwszej graficznej koncepcji idealnych kobiecych ust stworzonej ściśle w oparciu o zebrane dane morfometrii twarzy. Potwierdzeniem istotności wyników jest opublikowanie obu artykułów na łamach  specjalistycznego międzynarodowego czasopisma: </w:t>
      </w:r>
      <w:r w:rsidDel="00000000" w:rsidR="00000000" w:rsidRPr="00000000">
        <w:rPr>
          <w:rFonts w:ascii="Times New Roman" w:cs="Times New Roman" w:eastAsia="Times New Roman" w:hAnsi="Times New Roman"/>
          <w:i w:val="1"/>
          <w:sz w:val="24"/>
          <w:szCs w:val="24"/>
          <w:rtl w:val="0"/>
        </w:rPr>
        <w:t xml:space="preserve">Aesthetic Plastic Surgery </w:t>
      </w:r>
      <w:r w:rsidDel="00000000" w:rsidR="00000000" w:rsidRPr="00000000">
        <w:rPr>
          <w:rFonts w:ascii="Times New Roman" w:cs="Times New Roman" w:eastAsia="Times New Roman" w:hAnsi="Times New Roman"/>
          <w:sz w:val="24"/>
          <w:szCs w:val="24"/>
          <w:rtl w:val="0"/>
        </w:rPr>
        <w:t xml:space="preserve">o punktacji </w:t>
      </w:r>
      <w:r w:rsidDel="00000000" w:rsidR="00000000" w:rsidRPr="00000000">
        <w:rPr>
          <w:rFonts w:ascii="Times New Roman" w:cs="Times New Roman" w:eastAsia="Times New Roman" w:hAnsi="Times New Roman"/>
          <w:i w:val="1"/>
          <w:sz w:val="24"/>
          <w:szCs w:val="24"/>
          <w:rtl w:val="0"/>
        </w:rPr>
        <w:t xml:space="preserve">Impact Factor </w:t>
      </w:r>
      <w:r w:rsidDel="00000000" w:rsidR="00000000" w:rsidRPr="00000000">
        <w:rPr>
          <w:rFonts w:ascii="Times New Roman" w:cs="Times New Roman" w:eastAsia="Times New Roman" w:hAnsi="Times New Roman"/>
          <w:sz w:val="24"/>
          <w:szCs w:val="24"/>
          <w:rtl w:val="0"/>
        </w:rPr>
        <w:t xml:space="preserve">2.0. (liczba punktów MEiN = 70).</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