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E67" w:rsidRDefault="004D6BB8">
      <w:pPr>
        <w:rPr>
          <w:rFonts w:ascii="Arial" w:hAnsi="Arial" w:cs="Arial"/>
        </w:rPr>
      </w:pPr>
      <w:r>
        <w:rPr>
          <w:rFonts w:ascii="Arial" w:hAnsi="Arial" w:cs="Arial"/>
        </w:rPr>
        <w:t>Załącznik nr 2</w:t>
      </w:r>
      <w:r w:rsidR="00AA1E67" w:rsidRPr="00AA1E67">
        <w:rPr>
          <w:rFonts w:ascii="Arial" w:hAnsi="Arial" w:cs="Arial"/>
        </w:rPr>
        <w:t xml:space="preserve">                                                                                                    </w:t>
      </w:r>
    </w:p>
    <w:p w:rsidR="00AA1E67" w:rsidRDefault="00AA1E67">
      <w:pPr>
        <w:rPr>
          <w:rFonts w:ascii="Arial" w:hAnsi="Arial" w:cs="Arial"/>
        </w:rPr>
      </w:pPr>
    </w:p>
    <w:p w:rsidR="00702C43" w:rsidRDefault="00702C43" w:rsidP="00AA1E67">
      <w:pPr>
        <w:jc w:val="center"/>
        <w:rPr>
          <w:rFonts w:ascii="Arial" w:hAnsi="Arial" w:cs="Arial"/>
          <w:b/>
          <w:sz w:val="40"/>
          <w:szCs w:val="40"/>
        </w:rPr>
      </w:pPr>
    </w:p>
    <w:p w:rsidR="00702C43" w:rsidRDefault="00702C43" w:rsidP="00AA1E67">
      <w:pPr>
        <w:jc w:val="center"/>
        <w:rPr>
          <w:rFonts w:ascii="Arial" w:hAnsi="Arial" w:cs="Arial"/>
          <w:b/>
          <w:sz w:val="40"/>
          <w:szCs w:val="40"/>
        </w:rPr>
      </w:pPr>
    </w:p>
    <w:p w:rsidR="002F14FD" w:rsidRPr="00584337" w:rsidRDefault="00AA1E67" w:rsidP="00AA1E67">
      <w:pPr>
        <w:jc w:val="center"/>
        <w:rPr>
          <w:rFonts w:ascii="Arial" w:hAnsi="Arial" w:cs="Arial"/>
          <w:b/>
          <w:sz w:val="40"/>
          <w:szCs w:val="40"/>
        </w:rPr>
      </w:pPr>
      <w:r w:rsidRPr="00584337">
        <w:rPr>
          <w:rFonts w:ascii="Arial" w:hAnsi="Arial" w:cs="Arial"/>
          <w:b/>
          <w:sz w:val="40"/>
          <w:szCs w:val="40"/>
        </w:rPr>
        <w:t>AUTOREFERAT</w:t>
      </w:r>
    </w:p>
    <w:p w:rsidR="00584337" w:rsidRDefault="00584337" w:rsidP="00AA1E67">
      <w:pPr>
        <w:jc w:val="center"/>
        <w:rPr>
          <w:rFonts w:ascii="Arial" w:hAnsi="Arial" w:cs="Arial"/>
          <w:b/>
          <w:sz w:val="28"/>
          <w:szCs w:val="28"/>
        </w:rPr>
      </w:pPr>
    </w:p>
    <w:p w:rsidR="00584337" w:rsidRDefault="00584337" w:rsidP="00AA1E67">
      <w:pPr>
        <w:jc w:val="center"/>
        <w:rPr>
          <w:rFonts w:ascii="Arial" w:hAnsi="Arial" w:cs="Arial"/>
          <w:b/>
          <w:sz w:val="28"/>
          <w:szCs w:val="28"/>
        </w:rPr>
      </w:pPr>
    </w:p>
    <w:p w:rsidR="00584337" w:rsidRDefault="00584337" w:rsidP="00AA1E67">
      <w:pPr>
        <w:jc w:val="center"/>
        <w:rPr>
          <w:rFonts w:ascii="Arial" w:hAnsi="Arial" w:cs="Arial"/>
          <w:b/>
          <w:sz w:val="28"/>
          <w:szCs w:val="28"/>
        </w:rPr>
      </w:pPr>
    </w:p>
    <w:p w:rsidR="00584337" w:rsidRDefault="00584337" w:rsidP="00AA1E67">
      <w:pPr>
        <w:jc w:val="center"/>
        <w:rPr>
          <w:rFonts w:ascii="Arial" w:hAnsi="Arial" w:cs="Arial"/>
          <w:b/>
          <w:sz w:val="28"/>
          <w:szCs w:val="28"/>
        </w:rPr>
      </w:pPr>
    </w:p>
    <w:p w:rsidR="00584337" w:rsidRDefault="00584337" w:rsidP="00AA1E67">
      <w:pPr>
        <w:jc w:val="center"/>
        <w:rPr>
          <w:rFonts w:ascii="Arial" w:hAnsi="Arial" w:cs="Arial"/>
          <w:b/>
          <w:sz w:val="28"/>
          <w:szCs w:val="28"/>
        </w:rPr>
      </w:pPr>
    </w:p>
    <w:p w:rsidR="00584337" w:rsidRDefault="00584337" w:rsidP="00AA1E67">
      <w:pPr>
        <w:jc w:val="center"/>
        <w:rPr>
          <w:rFonts w:ascii="Arial" w:hAnsi="Arial" w:cs="Arial"/>
          <w:b/>
          <w:sz w:val="28"/>
          <w:szCs w:val="28"/>
        </w:rPr>
      </w:pPr>
    </w:p>
    <w:p w:rsidR="00584337" w:rsidRDefault="00584337" w:rsidP="00AA1E67">
      <w:pPr>
        <w:jc w:val="center"/>
        <w:rPr>
          <w:rFonts w:ascii="Arial" w:hAnsi="Arial" w:cs="Arial"/>
          <w:b/>
          <w:sz w:val="28"/>
          <w:szCs w:val="28"/>
        </w:rPr>
      </w:pPr>
    </w:p>
    <w:p w:rsidR="00584337" w:rsidRDefault="00584337" w:rsidP="00AA1E67">
      <w:pPr>
        <w:jc w:val="center"/>
        <w:rPr>
          <w:rFonts w:ascii="Arial" w:hAnsi="Arial" w:cs="Arial"/>
          <w:b/>
          <w:sz w:val="28"/>
          <w:szCs w:val="28"/>
        </w:rPr>
      </w:pPr>
    </w:p>
    <w:p w:rsidR="00584337" w:rsidRDefault="00584337" w:rsidP="00AA1E67">
      <w:pPr>
        <w:jc w:val="center"/>
        <w:rPr>
          <w:rFonts w:ascii="Arial" w:hAnsi="Arial" w:cs="Arial"/>
          <w:b/>
          <w:sz w:val="28"/>
          <w:szCs w:val="28"/>
        </w:rPr>
      </w:pPr>
    </w:p>
    <w:p w:rsidR="00584337" w:rsidRDefault="00584337" w:rsidP="00AA1E67">
      <w:pPr>
        <w:jc w:val="center"/>
        <w:rPr>
          <w:rFonts w:ascii="Arial" w:hAnsi="Arial" w:cs="Arial"/>
          <w:b/>
          <w:sz w:val="28"/>
          <w:szCs w:val="28"/>
        </w:rPr>
      </w:pPr>
    </w:p>
    <w:p w:rsidR="00584337" w:rsidRDefault="00584337" w:rsidP="00AA1E67">
      <w:pPr>
        <w:jc w:val="center"/>
        <w:rPr>
          <w:rFonts w:ascii="Arial" w:hAnsi="Arial" w:cs="Arial"/>
          <w:b/>
          <w:sz w:val="28"/>
          <w:szCs w:val="28"/>
        </w:rPr>
      </w:pPr>
    </w:p>
    <w:p w:rsidR="00584337" w:rsidRDefault="00584337" w:rsidP="00AA1E67">
      <w:pPr>
        <w:jc w:val="center"/>
        <w:rPr>
          <w:rFonts w:ascii="Arial" w:hAnsi="Arial" w:cs="Arial"/>
          <w:b/>
          <w:sz w:val="28"/>
          <w:szCs w:val="28"/>
        </w:rPr>
      </w:pPr>
    </w:p>
    <w:p w:rsidR="00584337" w:rsidRDefault="00584337" w:rsidP="00AA1E67">
      <w:pPr>
        <w:jc w:val="center"/>
        <w:rPr>
          <w:rFonts w:ascii="Arial" w:hAnsi="Arial" w:cs="Arial"/>
          <w:b/>
          <w:sz w:val="28"/>
          <w:szCs w:val="28"/>
        </w:rPr>
      </w:pPr>
    </w:p>
    <w:p w:rsidR="00584337" w:rsidRDefault="00584337" w:rsidP="00AA1E67">
      <w:pPr>
        <w:jc w:val="center"/>
        <w:rPr>
          <w:rFonts w:ascii="Arial" w:hAnsi="Arial" w:cs="Arial"/>
          <w:b/>
          <w:sz w:val="28"/>
          <w:szCs w:val="28"/>
        </w:rPr>
      </w:pPr>
    </w:p>
    <w:p w:rsidR="00584337" w:rsidRPr="00444B48" w:rsidRDefault="00584337" w:rsidP="00AA1E67">
      <w:pPr>
        <w:jc w:val="center"/>
        <w:rPr>
          <w:rFonts w:ascii="Arial" w:hAnsi="Arial" w:cs="Arial"/>
          <w:b/>
          <w:sz w:val="24"/>
          <w:szCs w:val="24"/>
        </w:rPr>
      </w:pPr>
      <w:r w:rsidRPr="00444B48">
        <w:rPr>
          <w:rFonts w:ascii="Arial" w:hAnsi="Arial" w:cs="Arial"/>
          <w:b/>
          <w:sz w:val="24"/>
          <w:szCs w:val="24"/>
        </w:rPr>
        <w:t>Dr n. med. Urszula Ambroziak</w:t>
      </w:r>
    </w:p>
    <w:p w:rsidR="00584337" w:rsidRPr="00444B48" w:rsidRDefault="00584337" w:rsidP="00AA1E67">
      <w:pPr>
        <w:jc w:val="center"/>
        <w:rPr>
          <w:rFonts w:ascii="Arial" w:hAnsi="Arial" w:cs="Arial"/>
          <w:b/>
          <w:sz w:val="24"/>
          <w:szCs w:val="24"/>
        </w:rPr>
      </w:pPr>
      <w:r w:rsidRPr="00444B48">
        <w:rPr>
          <w:rFonts w:ascii="Arial" w:hAnsi="Arial" w:cs="Arial"/>
          <w:b/>
          <w:sz w:val="24"/>
          <w:szCs w:val="24"/>
        </w:rPr>
        <w:t>Klinika Chorób Wewnętrznych i Endokrynologii</w:t>
      </w:r>
    </w:p>
    <w:p w:rsidR="00584337" w:rsidRPr="00444B48" w:rsidRDefault="00584337" w:rsidP="00AA1E67">
      <w:pPr>
        <w:jc w:val="center"/>
        <w:rPr>
          <w:rFonts w:ascii="Arial" w:hAnsi="Arial" w:cs="Arial"/>
          <w:b/>
          <w:sz w:val="24"/>
          <w:szCs w:val="24"/>
        </w:rPr>
      </w:pPr>
      <w:r w:rsidRPr="00444B48">
        <w:rPr>
          <w:rFonts w:ascii="Arial" w:hAnsi="Arial" w:cs="Arial"/>
          <w:b/>
          <w:sz w:val="24"/>
          <w:szCs w:val="24"/>
        </w:rPr>
        <w:t>Warszawski Uniwersytet Medyczny</w:t>
      </w:r>
    </w:p>
    <w:p w:rsidR="00584337" w:rsidRDefault="00584337" w:rsidP="00AA1E67">
      <w:pPr>
        <w:jc w:val="center"/>
        <w:rPr>
          <w:rFonts w:ascii="Arial" w:hAnsi="Arial" w:cs="Arial"/>
          <w:sz w:val="24"/>
          <w:szCs w:val="24"/>
        </w:rPr>
      </w:pPr>
    </w:p>
    <w:p w:rsidR="00AA1E67" w:rsidRDefault="00584337" w:rsidP="00584337">
      <w:pPr>
        <w:jc w:val="center"/>
        <w:rPr>
          <w:rFonts w:ascii="Arial" w:hAnsi="Arial" w:cs="Arial"/>
          <w:sz w:val="24"/>
          <w:szCs w:val="24"/>
        </w:rPr>
      </w:pPr>
      <w:r w:rsidRPr="00584337">
        <w:rPr>
          <w:rFonts w:ascii="Arial" w:hAnsi="Arial" w:cs="Arial"/>
          <w:sz w:val="24"/>
          <w:szCs w:val="24"/>
        </w:rPr>
        <w:t xml:space="preserve">Warszawa, </w:t>
      </w:r>
      <w:r w:rsidR="008F79F0">
        <w:rPr>
          <w:rFonts w:ascii="Arial" w:hAnsi="Arial" w:cs="Arial"/>
          <w:sz w:val="24"/>
          <w:szCs w:val="24"/>
        </w:rPr>
        <w:t>24.04.2018</w:t>
      </w:r>
    </w:p>
    <w:p w:rsidR="00702C43" w:rsidRPr="00584337" w:rsidRDefault="00702C43" w:rsidP="00584337">
      <w:pPr>
        <w:jc w:val="center"/>
        <w:rPr>
          <w:rFonts w:ascii="Arial" w:hAnsi="Arial" w:cs="Arial"/>
          <w:sz w:val="24"/>
          <w:szCs w:val="24"/>
        </w:rPr>
      </w:pPr>
    </w:p>
    <w:p w:rsidR="00AA1E67" w:rsidRPr="00AA1E67" w:rsidRDefault="00AA1E67" w:rsidP="00AA1E67">
      <w:pPr>
        <w:pStyle w:val="Akapitzlist"/>
        <w:numPr>
          <w:ilvl w:val="0"/>
          <w:numId w:val="2"/>
        </w:numPr>
        <w:jc w:val="both"/>
        <w:rPr>
          <w:rFonts w:ascii="Arial" w:hAnsi="Arial" w:cs="Arial"/>
          <w:b/>
        </w:rPr>
      </w:pPr>
      <w:r w:rsidRPr="00AA1E67">
        <w:rPr>
          <w:rFonts w:ascii="Arial" w:hAnsi="Arial" w:cs="Arial"/>
          <w:b/>
        </w:rPr>
        <w:t>Imię i Nazwisko</w:t>
      </w:r>
      <w:r>
        <w:rPr>
          <w:rFonts w:ascii="Arial" w:hAnsi="Arial" w:cs="Arial"/>
          <w:b/>
        </w:rPr>
        <w:t xml:space="preserve">: </w:t>
      </w:r>
      <w:r w:rsidRPr="00AA1E67">
        <w:rPr>
          <w:rFonts w:ascii="Arial" w:hAnsi="Arial" w:cs="Arial"/>
        </w:rPr>
        <w:t xml:space="preserve">Urszula Ambroziak </w:t>
      </w:r>
    </w:p>
    <w:p w:rsidR="00AA1E67" w:rsidRPr="00AA1E67" w:rsidRDefault="00AA1E67" w:rsidP="00AA1E67">
      <w:pPr>
        <w:pStyle w:val="Akapitzlist"/>
        <w:jc w:val="both"/>
        <w:rPr>
          <w:rFonts w:ascii="Arial" w:hAnsi="Arial" w:cs="Arial"/>
          <w:b/>
        </w:rPr>
      </w:pPr>
    </w:p>
    <w:p w:rsidR="00AA1E67" w:rsidRDefault="00AA1E67" w:rsidP="00AA1E67">
      <w:pPr>
        <w:pStyle w:val="Akapitzlist"/>
        <w:numPr>
          <w:ilvl w:val="0"/>
          <w:numId w:val="2"/>
        </w:numPr>
        <w:jc w:val="both"/>
        <w:rPr>
          <w:rFonts w:ascii="Arial" w:hAnsi="Arial" w:cs="Arial"/>
          <w:b/>
        </w:rPr>
      </w:pPr>
      <w:r w:rsidRPr="00AA1E67">
        <w:rPr>
          <w:rFonts w:ascii="Arial" w:hAnsi="Arial" w:cs="Arial"/>
          <w:b/>
        </w:rPr>
        <w:t>Posiadane dyplomy, stopnie naukowe - z podaniem nazwy, miejsca i roku ich uzyskania oraz tytułu rozprawy doktorskiej:</w:t>
      </w:r>
    </w:p>
    <w:p w:rsidR="00AA1E67" w:rsidRPr="00AA1E67" w:rsidRDefault="00AA1E67" w:rsidP="00AA1E67">
      <w:pPr>
        <w:pStyle w:val="Akapitzlist"/>
        <w:rPr>
          <w:rFonts w:ascii="Arial" w:hAnsi="Arial" w:cs="Arial"/>
          <w:b/>
        </w:rPr>
      </w:pPr>
    </w:p>
    <w:p w:rsidR="00D37DAC" w:rsidRDefault="00AA1E67" w:rsidP="0076387C">
      <w:pPr>
        <w:pStyle w:val="Akapitzlist"/>
        <w:spacing w:line="360" w:lineRule="auto"/>
        <w:ind w:left="2124" w:hanging="1404"/>
        <w:jc w:val="both"/>
        <w:rPr>
          <w:rFonts w:ascii="Arial" w:hAnsi="Arial" w:cs="Arial"/>
        </w:rPr>
      </w:pPr>
      <w:r w:rsidRPr="00AA1E67">
        <w:rPr>
          <w:rFonts w:ascii="Arial" w:hAnsi="Arial" w:cs="Arial"/>
          <w:b/>
        </w:rPr>
        <w:t>1996</w:t>
      </w:r>
      <w:r w:rsidRPr="00AA1E67">
        <w:rPr>
          <w:rFonts w:ascii="Arial" w:hAnsi="Arial" w:cs="Arial"/>
        </w:rPr>
        <w:t xml:space="preserve"> </w:t>
      </w:r>
      <w:r w:rsidR="00E05732">
        <w:rPr>
          <w:rFonts w:ascii="Arial" w:hAnsi="Arial" w:cs="Arial"/>
        </w:rPr>
        <w:tab/>
      </w:r>
      <w:r w:rsidRPr="00AA1E67">
        <w:rPr>
          <w:rFonts w:ascii="Arial" w:hAnsi="Arial" w:cs="Arial"/>
        </w:rPr>
        <w:t>Dyplom lekarza</w:t>
      </w:r>
      <w:r w:rsidR="00D37DAC">
        <w:rPr>
          <w:rFonts w:ascii="Arial" w:hAnsi="Arial" w:cs="Arial"/>
        </w:rPr>
        <w:t xml:space="preserve"> </w:t>
      </w:r>
    </w:p>
    <w:p w:rsidR="00AA1E67" w:rsidRDefault="00AA1E67" w:rsidP="00D37DAC">
      <w:pPr>
        <w:pStyle w:val="Akapitzlist"/>
        <w:spacing w:line="360" w:lineRule="auto"/>
        <w:ind w:left="2124"/>
        <w:jc w:val="both"/>
        <w:rPr>
          <w:rFonts w:ascii="Arial" w:hAnsi="Arial" w:cs="Arial"/>
        </w:rPr>
      </w:pPr>
      <w:r w:rsidRPr="00AA1E67">
        <w:rPr>
          <w:rFonts w:ascii="Arial" w:hAnsi="Arial" w:cs="Arial"/>
        </w:rPr>
        <w:t>I Wydział Lekarski, Akademia Medyczna w Warszawie (obecnie Warszawski Uniwersytet Medyczny)</w:t>
      </w:r>
    </w:p>
    <w:p w:rsidR="008363FB" w:rsidRDefault="008363FB" w:rsidP="00AA1E67">
      <w:pPr>
        <w:pStyle w:val="Akapitzlist"/>
        <w:spacing w:line="360" w:lineRule="auto"/>
        <w:jc w:val="both"/>
        <w:rPr>
          <w:rFonts w:ascii="Arial" w:hAnsi="Arial" w:cs="Arial"/>
        </w:rPr>
      </w:pPr>
    </w:p>
    <w:p w:rsidR="00AA1E67" w:rsidRDefault="00AA1E67" w:rsidP="00AA1E67">
      <w:pPr>
        <w:pStyle w:val="Akapitzlist"/>
        <w:spacing w:line="360" w:lineRule="auto"/>
        <w:jc w:val="both"/>
        <w:rPr>
          <w:rFonts w:ascii="Arial" w:hAnsi="Arial" w:cs="Arial"/>
        </w:rPr>
      </w:pPr>
      <w:r>
        <w:rPr>
          <w:rFonts w:ascii="Arial" w:hAnsi="Arial" w:cs="Arial"/>
          <w:b/>
        </w:rPr>
        <w:t xml:space="preserve">2001 </w:t>
      </w:r>
      <w:r w:rsidR="008363FB">
        <w:rPr>
          <w:rFonts w:ascii="Arial" w:hAnsi="Arial" w:cs="Arial"/>
          <w:b/>
        </w:rPr>
        <w:t xml:space="preserve"> </w:t>
      </w:r>
      <w:r w:rsidR="0076387C">
        <w:rPr>
          <w:rFonts w:ascii="Arial" w:hAnsi="Arial" w:cs="Arial"/>
          <w:b/>
        </w:rPr>
        <w:tab/>
      </w:r>
      <w:r w:rsidR="0076387C">
        <w:rPr>
          <w:rFonts w:ascii="Arial" w:hAnsi="Arial" w:cs="Arial"/>
          <w:b/>
        </w:rPr>
        <w:tab/>
      </w:r>
      <w:r w:rsidRPr="00AA1E67">
        <w:rPr>
          <w:rFonts w:ascii="Arial" w:hAnsi="Arial" w:cs="Arial"/>
        </w:rPr>
        <w:t xml:space="preserve">Tytuł </w:t>
      </w:r>
      <w:r w:rsidR="008363FB">
        <w:rPr>
          <w:rFonts w:ascii="Arial" w:hAnsi="Arial" w:cs="Arial"/>
        </w:rPr>
        <w:t xml:space="preserve">specjalisty Chorób Wewnętrznych I stopnia (ocena bardzo dobra) </w:t>
      </w:r>
    </w:p>
    <w:p w:rsidR="008363FB" w:rsidRPr="00AA1E67" w:rsidRDefault="008363FB" w:rsidP="00AA1E67">
      <w:pPr>
        <w:pStyle w:val="Akapitzlist"/>
        <w:spacing w:line="360" w:lineRule="auto"/>
        <w:jc w:val="both"/>
        <w:rPr>
          <w:rFonts w:ascii="Arial" w:hAnsi="Arial" w:cs="Arial"/>
        </w:rPr>
      </w:pPr>
    </w:p>
    <w:p w:rsidR="00D37DAC" w:rsidRDefault="00AA1E67" w:rsidP="0076387C">
      <w:pPr>
        <w:pStyle w:val="Akapitzlist"/>
        <w:spacing w:line="360" w:lineRule="auto"/>
        <w:ind w:left="2124" w:hanging="1404"/>
        <w:jc w:val="both"/>
        <w:rPr>
          <w:rFonts w:ascii="Arial" w:hAnsi="Arial" w:cs="Arial"/>
        </w:rPr>
      </w:pPr>
      <w:r w:rsidRPr="00AA1E67">
        <w:rPr>
          <w:rFonts w:ascii="Arial" w:hAnsi="Arial" w:cs="Arial"/>
          <w:b/>
        </w:rPr>
        <w:t>2004</w:t>
      </w:r>
      <w:r w:rsidRPr="00AA1E67">
        <w:rPr>
          <w:rFonts w:ascii="Arial" w:hAnsi="Arial" w:cs="Arial"/>
        </w:rPr>
        <w:t xml:space="preserve"> </w:t>
      </w:r>
      <w:r w:rsidR="0076387C">
        <w:rPr>
          <w:rFonts w:ascii="Arial" w:hAnsi="Arial" w:cs="Arial"/>
        </w:rPr>
        <w:tab/>
      </w:r>
      <w:r w:rsidRPr="00AA1E67">
        <w:rPr>
          <w:rFonts w:ascii="Arial" w:hAnsi="Arial" w:cs="Arial"/>
        </w:rPr>
        <w:t xml:space="preserve">Stopień doktora nauk medycznych (z wyróżnieniem) </w:t>
      </w:r>
    </w:p>
    <w:p w:rsidR="00AA1E67" w:rsidRDefault="00AA1E67" w:rsidP="00D37DAC">
      <w:pPr>
        <w:pStyle w:val="Akapitzlist"/>
        <w:spacing w:line="360" w:lineRule="auto"/>
        <w:ind w:left="2124" w:hanging="12"/>
        <w:jc w:val="both"/>
        <w:rPr>
          <w:rFonts w:ascii="Arial" w:hAnsi="Arial" w:cs="Arial"/>
        </w:rPr>
      </w:pPr>
      <w:r w:rsidRPr="00AA1E67">
        <w:rPr>
          <w:rFonts w:ascii="Arial" w:hAnsi="Arial" w:cs="Arial"/>
        </w:rPr>
        <w:t>Akademia Medyczna w Warszawie (obecnie Warszawski Uniwersytet Medyczny)</w:t>
      </w:r>
    </w:p>
    <w:p w:rsidR="00AA1E67" w:rsidRDefault="00AA1E67" w:rsidP="0076387C">
      <w:pPr>
        <w:pStyle w:val="Akapitzlist"/>
        <w:spacing w:line="360" w:lineRule="auto"/>
        <w:ind w:left="2112"/>
        <w:jc w:val="both"/>
        <w:rPr>
          <w:rFonts w:ascii="Arial" w:hAnsi="Arial" w:cs="Arial"/>
        </w:rPr>
      </w:pPr>
      <w:r w:rsidRPr="00AA1E67">
        <w:rPr>
          <w:rFonts w:ascii="Arial" w:hAnsi="Arial" w:cs="Arial"/>
        </w:rPr>
        <w:t xml:space="preserve">Tytuł pracy doktorskiej: "Porównanie dwóch </w:t>
      </w:r>
      <w:r w:rsidR="008363FB">
        <w:rPr>
          <w:rFonts w:ascii="Arial" w:hAnsi="Arial" w:cs="Arial"/>
        </w:rPr>
        <w:t xml:space="preserve">różnych </w:t>
      </w:r>
      <w:r w:rsidRPr="00AA1E67">
        <w:rPr>
          <w:rFonts w:ascii="Arial" w:hAnsi="Arial" w:cs="Arial"/>
        </w:rPr>
        <w:t xml:space="preserve">metod leczenia </w:t>
      </w:r>
      <w:r w:rsidR="0076387C">
        <w:rPr>
          <w:rFonts w:ascii="Arial" w:hAnsi="Arial" w:cs="Arial"/>
        </w:rPr>
        <w:tab/>
        <w:t>f</w:t>
      </w:r>
      <w:r w:rsidRPr="00AA1E67">
        <w:rPr>
          <w:rFonts w:ascii="Arial" w:hAnsi="Arial" w:cs="Arial"/>
        </w:rPr>
        <w:t xml:space="preserve">armakologicznego </w:t>
      </w:r>
      <w:r>
        <w:rPr>
          <w:rFonts w:ascii="Arial" w:hAnsi="Arial" w:cs="Arial"/>
        </w:rPr>
        <w:t xml:space="preserve">nadczynności tarczycy w przebiegu choroby Gravesa- Basedowa” </w:t>
      </w:r>
    </w:p>
    <w:p w:rsidR="00AA1E67" w:rsidRPr="00351805" w:rsidRDefault="00AA1E67" w:rsidP="0076387C">
      <w:pPr>
        <w:pStyle w:val="Akapitzlist"/>
        <w:spacing w:line="360" w:lineRule="auto"/>
        <w:ind w:left="1416" w:firstLine="696"/>
        <w:jc w:val="both"/>
        <w:rPr>
          <w:rFonts w:ascii="Arial" w:hAnsi="Arial" w:cs="Arial"/>
          <w:lang w:val="en-US"/>
        </w:rPr>
      </w:pPr>
      <w:proofErr w:type="spellStart"/>
      <w:r w:rsidRPr="00AA1E67">
        <w:rPr>
          <w:rFonts w:ascii="Arial" w:hAnsi="Arial" w:cs="Arial"/>
          <w:lang w:val="en-US"/>
        </w:rPr>
        <w:t>Promotor</w:t>
      </w:r>
      <w:proofErr w:type="spellEnd"/>
      <w:r w:rsidRPr="00AA1E67">
        <w:rPr>
          <w:rFonts w:ascii="Arial" w:hAnsi="Arial" w:cs="Arial"/>
          <w:lang w:val="en-US"/>
        </w:rPr>
        <w:t xml:space="preserve">: </w:t>
      </w:r>
      <w:r w:rsidR="008F79F0">
        <w:rPr>
          <w:rFonts w:ascii="Arial" w:hAnsi="Arial" w:cs="Arial"/>
          <w:lang w:val="en-US"/>
        </w:rPr>
        <w:t xml:space="preserve">    </w:t>
      </w:r>
      <w:proofErr w:type="spellStart"/>
      <w:r w:rsidRPr="00AA1E67">
        <w:rPr>
          <w:rFonts w:ascii="Arial" w:hAnsi="Arial" w:cs="Arial"/>
          <w:lang w:val="en-US"/>
        </w:rPr>
        <w:t>prof</w:t>
      </w:r>
      <w:proofErr w:type="spellEnd"/>
      <w:r w:rsidRPr="00AA1E67">
        <w:rPr>
          <w:rFonts w:ascii="Arial" w:hAnsi="Arial" w:cs="Arial"/>
          <w:lang w:val="en-US"/>
        </w:rPr>
        <w:t xml:space="preserve">. </w:t>
      </w:r>
      <w:proofErr w:type="spellStart"/>
      <w:r w:rsidRPr="00AA1E67">
        <w:rPr>
          <w:rFonts w:ascii="Arial" w:hAnsi="Arial" w:cs="Arial"/>
          <w:lang w:val="en-US"/>
        </w:rPr>
        <w:t>dr</w:t>
      </w:r>
      <w:proofErr w:type="spellEnd"/>
      <w:r w:rsidRPr="00AA1E67">
        <w:rPr>
          <w:rFonts w:ascii="Arial" w:hAnsi="Arial" w:cs="Arial"/>
          <w:lang w:val="en-US"/>
        </w:rPr>
        <w:t xml:space="preserve"> hab. n. med. </w:t>
      </w:r>
      <w:proofErr w:type="spellStart"/>
      <w:r w:rsidRPr="00351805">
        <w:rPr>
          <w:rFonts w:ascii="Arial" w:hAnsi="Arial" w:cs="Arial"/>
          <w:lang w:val="en-US"/>
        </w:rPr>
        <w:t>Janusz</w:t>
      </w:r>
      <w:proofErr w:type="spellEnd"/>
      <w:r w:rsidRPr="00351805">
        <w:rPr>
          <w:rFonts w:ascii="Arial" w:hAnsi="Arial" w:cs="Arial"/>
          <w:lang w:val="en-US"/>
        </w:rPr>
        <w:t xml:space="preserve"> </w:t>
      </w:r>
      <w:proofErr w:type="spellStart"/>
      <w:r w:rsidRPr="00351805">
        <w:rPr>
          <w:rFonts w:ascii="Arial" w:hAnsi="Arial" w:cs="Arial"/>
          <w:lang w:val="en-US"/>
        </w:rPr>
        <w:t>Nauman</w:t>
      </w:r>
      <w:proofErr w:type="spellEnd"/>
      <w:r w:rsidRPr="00351805">
        <w:rPr>
          <w:rFonts w:ascii="Arial" w:hAnsi="Arial" w:cs="Arial"/>
          <w:lang w:val="en-US"/>
        </w:rPr>
        <w:t xml:space="preserve"> </w:t>
      </w:r>
    </w:p>
    <w:p w:rsidR="00D37DAC" w:rsidRDefault="00584337" w:rsidP="0076387C">
      <w:pPr>
        <w:pStyle w:val="Akapitzlist"/>
        <w:spacing w:line="360" w:lineRule="auto"/>
        <w:ind w:left="1416" w:firstLine="696"/>
        <w:jc w:val="both"/>
        <w:rPr>
          <w:rFonts w:ascii="Arial" w:hAnsi="Arial" w:cs="Arial"/>
        </w:rPr>
      </w:pPr>
      <w:proofErr w:type="spellStart"/>
      <w:r w:rsidRPr="00584337">
        <w:rPr>
          <w:rFonts w:ascii="Arial" w:hAnsi="Arial" w:cs="Arial"/>
          <w:lang w:val="en-US"/>
        </w:rPr>
        <w:t>Recenzenci</w:t>
      </w:r>
      <w:proofErr w:type="spellEnd"/>
      <w:r w:rsidRPr="00584337">
        <w:rPr>
          <w:rFonts w:ascii="Arial" w:hAnsi="Arial" w:cs="Arial"/>
          <w:lang w:val="en-US"/>
        </w:rPr>
        <w:t xml:space="preserve">: </w:t>
      </w:r>
      <w:proofErr w:type="spellStart"/>
      <w:r w:rsidRPr="00584337">
        <w:rPr>
          <w:rFonts w:ascii="Arial" w:hAnsi="Arial" w:cs="Arial"/>
          <w:lang w:val="en-US"/>
        </w:rPr>
        <w:t>prof</w:t>
      </w:r>
      <w:proofErr w:type="spellEnd"/>
      <w:r w:rsidRPr="00584337">
        <w:rPr>
          <w:rFonts w:ascii="Arial" w:hAnsi="Arial" w:cs="Arial"/>
          <w:lang w:val="en-US"/>
        </w:rPr>
        <w:t xml:space="preserve">. </w:t>
      </w:r>
      <w:proofErr w:type="spellStart"/>
      <w:r>
        <w:rPr>
          <w:rFonts w:ascii="Arial" w:hAnsi="Arial" w:cs="Arial"/>
          <w:lang w:val="en-US"/>
        </w:rPr>
        <w:t>dr</w:t>
      </w:r>
      <w:proofErr w:type="spellEnd"/>
      <w:r>
        <w:rPr>
          <w:rFonts w:ascii="Arial" w:hAnsi="Arial" w:cs="Arial"/>
          <w:lang w:val="en-US"/>
        </w:rPr>
        <w:t xml:space="preserve"> hab.</w:t>
      </w:r>
      <w:r w:rsidRPr="00584337">
        <w:rPr>
          <w:rFonts w:ascii="Arial" w:hAnsi="Arial" w:cs="Arial"/>
          <w:lang w:val="en-US"/>
        </w:rPr>
        <w:t xml:space="preserve"> </w:t>
      </w:r>
      <w:r>
        <w:rPr>
          <w:rFonts w:ascii="Arial" w:hAnsi="Arial" w:cs="Arial"/>
          <w:lang w:val="en-US"/>
        </w:rPr>
        <w:t xml:space="preserve">n. </w:t>
      </w:r>
      <w:r w:rsidRPr="00584337">
        <w:rPr>
          <w:rFonts w:ascii="Arial" w:hAnsi="Arial" w:cs="Arial"/>
          <w:lang w:val="en-US"/>
        </w:rPr>
        <w:t>med.</w:t>
      </w:r>
      <w:r>
        <w:rPr>
          <w:rFonts w:ascii="Arial" w:hAnsi="Arial" w:cs="Arial"/>
          <w:lang w:val="en-US"/>
        </w:rPr>
        <w:t xml:space="preserve"> </w:t>
      </w:r>
      <w:r w:rsidRPr="00584337">
        <w:rPr>
          <w:rFonts w:ascii="Arial" w:hAnsi="Arial" w:cs="Arial"/>
        </w:rPr>
        <w:t xml:space="preserve">Andrzej Członkowski, </w:t>
      </w:r>
    </w:p>
    <w:p w:rsidR="00584337" w:rsidRPr="00D37DAC" w:rsidRDefault="0092256B" w:rsidP="00D37DAC">
      <w:pPr>
        <w:pStyle w:val="Akapitzlist"/>
        <w:spacing w:line="360" w:lineRule="auto"/>
        <w:ind w:left="2832"/>
        <w:jc w:val="both"/>
        <w:rPr>
          <w:rFonts w:ascii="Arial" w:hAnsi="Arial" w:cs="Arial"/>
        </w:rPr>
      </w:pPr>
      <w:r w:rsidRPr="0092256B">
        <w:rPr>
          <w:rFonts w:ascii="Arial" w:hAnsi="Arial" w:cs="Arial"/>
        </w:rPr>
        <w:t xml:space="preserve">         </w:t>
      </w:r>
      <w:r w:rsidR="00584337" w:rsidRPr="0092256B">
        <w:rPr>
          <w:rFonts w:ascii="Arial" w:hAnsi="Arial" w:cs="Arial"/>
        </w:rPr>
        <w:t xml:space="preserve">prof. </w:t>
      </w:r>
      <w:proofErr w:type="spellStart"/>
      <w:r w:rsidR="00584337" w:rsidRPr="0092256B">
        <w:rPr>
          <w:rFonts w:ascii="Arial" w:hAnsi="Arial" w:cs="Arial"/>
        </w:rPr>
        <w:t>dr</w:t>
      </w:r>
      <w:proofErr w:type="spellEnd"/>
      <w:r w:rsidR="00584337" w:rsidRPr="0092256B">
        <w:rPr>
          <w:rFonts w:ascii="Arial" w:hAnsi="Arial" w:cs="Arial"/>
        </w:rPr>
        <w:t>. hab. n.</w:t>
      </w:r>
      <w:r w:rsidR="00D37DAC" w:rsidRPr="0092256B">
        <w:rPr>
          <w:rFonts w:ascii="Arial" w:hAnsi="Arial" w:cs="Arial"/>
        </w:rPr>
        <w:t xml:space="preserve"> </w:t>
      </w:r>
      <w:r w:rsidR="00584337" w:rsidRPr="0092256B">
        <w:rPr>
          <w:rFonts w:ascii="Arial" w:hAnsi="Arial" w:cs="Arial"/>
        </w:rPr>
        <w:t xml:space="preserve">med.  </w:t>
      </w:r>
      <w:r w:rsidR="00584337" w:rsidRPr="00D37DAC">
        <w:rPr>
          <w:rFonts w:ascii="Arial" w:hAnsi="Arial" w:cs="Arial"/>
        </w:rPr>
        <w:t xml:space="preserve">Ida </w:t>
      </w:r>
      <w:proofErr w:type="spellStart"/>
      <w:r w:rsidR="00584337" w:rsidRPr="00D37DAC">
        <w:rPr>
          <w:rFonts w:ascii="Arial" w:hAnsi="Arial" w:cs="Arial"/>
        </w:rPr>
        <w:t>Kinalska</w:t>
      </w:r>
      <w:proofErr w:type="spellEnd"/>
      <w:r w:rsidR="00584337" w:rsidRPr="00D37DAC">
        <w:rPr>
          <w:rFonts w:ascii="Arial" w:hAnsi="Arial" w:cs="Arial"/>
        </w:rPr>
        <w:t xml:space="preserve"> </w:t>
      </w:r>
    </w:p>
    <w:p w:rsidR="008363FB" w:rsidRPr="00351805" w:rsidRDefault="008363FB" w:rsidP="00AA1E67">
      <w:pPr>
        <w:pStyle w:val="Akapitzlist"/>
        <w:spacing w:line="360" w:lineRule="auto"/>
        <w:jc w:val="both"/>
        <w:rPr>
          <w:rFonts w:ascii="Arial" w:hAnsi="Arial" w:cs="Arial"/>
        </w:rPr>
      </w:pPr>
    </w:p>
    <w:p w:rsidR="00AA1E67" w:rsidRDefault="008363FB" w:rsidP="0076387C">
      <w:pPr>
        <w:pStyle w:val="Akapitzlist"/>
        <w:spacing w:line="360" w:lineRule="auto"/>
        <w:ind w:left="2130" w:hanging="1410"/>
        <w:jc w:val="both"/>
        <w:rPr>
          <w:rFonts w:ascii="Arial" w:hAnsi="Arial" w:cs="Arial"/>
        </w:rPr>
      </w:pPr>
      <w:r w:rsidRPr="008363FB">
        <w:rPr>
          <w:rFonts w:ascii="Arial" w:hAnsi="Arial" w:cs="Arial"/>
          <w:b/>
        </w:rPr>
        <w:t>2005</w:t>
      </w:r>
      <w:r w:rsidR="00AA1E67" w:rsidRPr="008363FB">
        <w:rPr>
          <w:rFonts w:ascii="Arial" w:hAnsi="Arial" w:cs="Arial"/>
          <w:b/>
        </w:rPr>
        <w:t xml:space="preserve"> </w:t>
      </w:r>
      <w:r w:rsidR="0076387C">
        <w:rPr>
          <w:rFonts w:ascii="Arial" w:hAnsi="Arial" w:cs="Arial"/>
          <w:b/>
        </w:rPr>
        <w:tab/>
      </w:r>
      <w:r w:rsidR="00AA1E67" w:rsidRPr="00AA1E67">
        <w:rPr>
          <w:rFonts w:ascii="Arial" w:hAnsi="Arial" w:cs="Arial"/>
        </w:rPr>
        <w:t xml:space="preserve">Tytuł specjalisty </w:t>
      </w:r>
      <w:r>
        <w:rPr>
          <w:rFonts w:ascii="Arial" w:hAnsi="Arial" w:cs="Arial"/>
        </w:rPr>
        <w:t xml:space="preserve">Chorób Wewnętrznych II stopnia </w:t>
      </w:r>
      <w:r w:rsidR="00AA1E67" w:rsidRPr="00AA1E67">
        <w:rPr>
          <w:rFonts w:ascii="Arial" w:hAnsi="Arial" w:cs="Arial"/>
        </w:rPr>
        <w:t xml:space="preserve">(egzamin </w:t>
      </w:r>
      <w:r w:rsidR="0076387C">
        <w:rPr>
          <w:rFonts w:ascii="Arial" w:hAnsi="Arial" w:cs="Arial"/>
        </w:rPr>
        <w:t xml:space="preserve">   </w:t>
      </w:r>
      <w:r w:rsidR="00AA1E67" w:rsidRPr="00AA1E67">
        <w:rPr>
          <w:rFonts w:ascii="Arial" w:hAnsi="Arial" w:cs="Arial"/>
        </w:rPr>
        <w:t xml:space="preserve">testowy - pierwszy wynik w Polsce, egzamin ustny - bardzo dobry) </w:t>
      </w:r>
    </w:p>
    <w:p w:rsidR="008363FB" w:rsidRDefault="008363FB" w:rsidP="00AA1E67">
      <w:pPr>
        <w:pStyle w:val="Akapitzlist"/>
        <w:spacing w:line="360" w:lineRule="auto"/>
        <w:jc w:val="both"/>
        <w:rPr>
          <w:rFonts w:ascii="Arial" w:hAnsi="Arial" w:cs="Arial"/>
        </w:rPr>
      </w:pPr>
    </w:p>
    <w:p w:rsidR="0076387C" w:rsidRDefault="0076387C" w:rsidP="008363FB">
      <w:pPr>
        <w:pStyle w:val="Akapitzlist"/>
        <w:numPr>
          <w:ilvl w:val="0"/>
          <w:numId w:val="3"/>
        </w:numPr>
        <w:spacing w:line="360" w:lineRule="auto"/>
        <w:jc w:val="both"/>
        <w:rPr>
          <w:rFonts w:ascii="Arial" w:hAnsi="Arial" w:cs="Arial"/>
        </w:rPr>
      </w:pPr>
      <w:r>
        <w:rPr>
          <w:rFonts w:ascii="Arial" w:hAnsi="Arial" w:cs="Arial"/>
        </w:rPr>
        <w:t xml:space="preserve">            </w:t>
      </w:r>
      <w:r w:rsidR="008363FB">
        <w:rPr>
          <w:rFonts w:ascii="Arial" w:hAnsi="Arial" w:cs="Arial"/>
        </w:rPr>
        <w:t xml:space="preserve">Tytuł specjalisty w dziedzinie endokrynologii </w:t>
      </w:r>
      <w:r w:rsidR="008363FB" w:rsidRPr="00AA1E67">
        <w:rPr>
          <w:rFonts w:ascii="Arial" w:hAnsi="Arial" w:cs="Arial"/>
        </w:rPr>
        <w:t xml:space="preserve">(egzamin testowy - </w:t>
      </w:r>
      <w:r>
        <w:rPr>
          <w:rFonts w:ascii="Arial" w:hAnsi="Arial" w:cs="Arial"/>
        </w:rPr>
        <w:t xml:space="preserve"> </w:t>
      </w:r>
    </w:p>
    <w:p w:rsidR="00EC4642" w:rsidRDefault="0076387C" w:rsidP="0076387C">
      <w:pPr>
        <w:pStyle w:val="Akapitzlist"/>
        <w:spacing w:line="360" w:lineRule="auto"/>
        <w:ind w:left="1200"/>
        <w:jc w:val="both"/>
        <w:rPr>
          <w:rFonts w:ascii="Arial" w:hAnsi="Arial" w:cs="Arial"/>
        </w:rPr>
      </w:pPr>
      <w:r>
        <w:rPr>
          <w:rFonts w:ascii="Arial" w:hAnsi="Arial" w:cs="Arial"/>
        </w:rPr>
        <w:t xml:space="preserve">                </w:t>
      </w:r>
      <w:r w:rsidR="008363FB" w:rsidRPr="00AA1E67">
        <w:rPr>
          <w:rFonts w:ascii="Arial" w:hAnsi="Arial" w:cs="Arial"/>
        </w:rPr>
        <w:t>pierwszy wynik w Polsce, egzamin ustny - bardzo dobry</w:t>
      </w:r>
      <w:r w:rsidR="00EC4642">
        <w:rPr>
          <w:rFonts w:ascii="Arial" w:hAnsi="Arial" w:cs="Arial"/>
        </w:rPr>
        <w:t xml:space="preserve"> z </w:t>
      </w:r>
    </w:p>
    <w:p w:rsidR="008363FB" w:rsidRDefault="00EC4642" w:rsidP="0076387C">
      <w:pPr>
        <w:pStyle w:val="Akapitzlist"/>
        <w:spacing w:line="360" w:lineRule="auto"/>
        <w:ind w:left="1200"/>
        <w:jc w:val="both"/>
        <w:rPr>
          <w:rFonts w:ascii="Arial" w:hAnsi="Arial" w:cs="Arial"/>
        </w:rPr>
      </w:pPr>
      <w:r>
        <w:rPr>
          <w:rFonts w:ascii="Arial" w:hAnsi="Arial" w:cs="Arial"/>
        </w:rPr>
        <w:t xml:space="preserve">               </w:t>
      </w:r>
      <w:r w:rsidR="00F63CD6">
        <w:rPr>
          <w:rFonts w:ascii="Arial" w:hAnsi="Arial" w:cs="Arial"/>
        </w:rPr>
        <w:t xml:space="preserve"> </w:t>
      </w:r>
      <w:r>
        <w:rPr>
          <w:rFonts w:ascii="Arial" w:hAnsi="Arial" w:cs="Arial"/>
        </w:rPr>
        <w:t>wyróżnieniem</w:t>
      </w:r>
      <w:r w:rsidR="008363FB" w:rsidRPr="00AA1E67">
        <w:rPr>
          <w:rFonts w:ascii="Arial" w:hAnsi="Arial" w:cs="Arial"/>
        </w:rPr>
        <w:t xml:space="preserve">) </w:t>
      </w:r>
    </w:p>
    <w:p w:rsidR="00D37DAC" w:rsidRDefault="00D37DAC" w:rsidP="0076387C">
      <w:pPr>
        <w:pStyle w:val="Akapitzlist"/>
        <w:spacing w:line="360" w:lineRule="auto"/>
        <w:ind w:left="1200"/>
        <w:jc w:val="both"/>
        <w:rPr>
          <w:rFonts w:ascii="Arial" w:hAnsi="Arial" w:cs="Arial"/>
        </w:rPr>
      </w:pPr>
    </w:p>
    <w:p w:rsidR="008363FB" w:rsidRPr="00E05732" w:rsidRDefault="008363FB" w:rsidP="0076387C">
      <w:pPr>
        <w:spacing w:line="360" w:lineRule="auto"/>
        <w:jc w:val="both"/>
        <w:rPr>
          <w:rFonts w:ascii="Arial" w:eastAsia="Calibri" w:hAnsi="Arial" w:cs="Arial"/>
        </w:rPr>
      </w:pPr>
      <w:r w:rsidRPr="008363FB">
        <w:rPr>
          <w:rFonts w:ascii="Arial" w:hAnsi="Arial" w:cs="Arial"/>
          <w:b/>
        </w:rPr>
        <w:t xml:space="preserve">  </w:t>
      </w:r>
      <w:r>
        <w:rPr>
          <w:rFonts w:ascii="Arial" w:hAnsi="Arial" w:cs="Arial"/>
          <w:b/>
        </w:rPr>
        <w:t xml:space="preserve">   </w:t>
      </w:r>
      <w:r w:rsidR="0076387C">
        <w:rPr>
          <w:rFonts w:ascii="Arial" w:hAnsi="Arial" w:cs="Arial"/>
          <w:b/>
        </w:rPr>
        <w:t>3</w:t>
      </w:r>
      <w:r>
        <w:rPr>
          <w:rFonts w:ascii="Arial" w:hAnsi="Arial" w:cs="Arial"/>
          <w:b/>
        </w:rPr>
        <w:t xml:space="preserve">) </w:t>
      </w:r>
      <w:r w:rsidRPr="008363FB">
        <w:rPr>
          <w:rFonts w:ascii="Arial" w:hAnsi="Arial" w:cs="Arial"/>
          <w:b/>
        </w:rPr>
        <w:t>Informacje o dotychczasowym zatrudnieniu w jednostkach naukowych:</w:t>
      </w:r>
      <w:r>
        <w:t xml:space="preserve"> </w:t>
      </w:r>
      <w:r w:rsidRPr="008363FB">
        <w:rPr>
          <w:rFonts w:ascii="Arial" w:hAnsi="Arial" w:cs="Arial"/>
        </w:rPr>
        <w:t xml:space="preserve"> </w:t>
      </w:r>
    </w:p>
    <w:p w:rsidR="008363FB" w:rsidRPr="00E05732" w:rsidRDefault="008363FB" w:rsidP="008F79F0">
      <w:pPr>
        <w:ind w:left="2127" w:hanging="1418"/>
        <w:rPr>
          <w:rFonts w:ascii="Arial" w:eastAsia="Calibri" w:hAnsi="Arial" w:cs="Arial"/>
        </w:rPr>
      </w:pPr>
      <w:r w:rsidRPr="0076387C">
        <w:rPr>
          <w:rFonts w:ascii="Arial" w:eastAsia="Calibri" w:hAnsi="Arial" w:cs="Arial"/>
          <w:b/>
        </w:rPr>
        <w:t>1997-1999</w:t>
      </w:r>
      <w:r w:rsidRPr="00E05732">
        <w:rPr>
          <w:rFonts w:ascii="Arial" w:eastAsia="Calibri" w:hAnsi="Arial" w:cs="Arial"/>
        </w:rPr>
        <w:t xml:space="preserve"> </w:t>
      </w:r>
      <w:r w:rsidRPr="00E05732">
        <w:rPr>
          <w:rFonts w:ascii="Arial" w:eastAsia="Calibri" w:hAnsi="Arial" w:cs="Arial"/>
        </w:rPr>
        <w:tab/>
        <w:t>lekarz r</w:t>
      </w:r>
      <w:r w:rsidR="008F79F0">
        <w:rPr>
          <w:rFonts w:ascii="Arial" w:eastAsia="Calibri" w:hAnsi="Arial" w:cs="Arial"/>
        </w:rPr>
        <w:t>ejonowy w Samodzielnym Publicznym Zespole Lecznictwa Otwartego Warszawa - Wola</w:t>
      </w:r>
      <w:r w:rsidRPr="00E05732">
        <w:rPr>
          <w:rFonts w:ascii="Arial" w:eastAsia="Calibri" w:hAnsi="Arial" w:cs="Arial"/>
        </w:rPr>
        <w:t>, Warszawa</w:t>
      </w:r>
    </w:p>
    <w:p w:rsidR="008363FB" w:rsidRPr="00E05732" w:rsidRDefault="008363FB" w:rsidP="008363FB">
      <w:pPr>
        <w:ind w:left="2124" w:hanging="2124"/>
        <w:rPr>
          <w:rFonts w:ascii="Arial" w:eastAsia="Calibri" w:hAnsi="Arial" w:cs="Arial"/>
        </w:rPr>
      </w:pPr>
    </w:p>
    <w:p w:rsidR="008363FB" w:rsidRPr="00E05732" w:rsidRDefault="008363FB" w:rsidP="008363FB">
      <w:pPr>
        <w:ind w:left="2124" w:hanging="1416"/>
        <w:rPr>
          <w:rFonts w:ascii="Arial" w:eastAsia="Calibri" w:hAnsi="Arial" w:cs="Arial"/>
        </w:rPr>
      </w:pPr>
      <w:r w:rsidRPr="0076387C">
        <w:rPr>
          <w:rFonts w:ascii="Arial" w:eastAsia="Calibri" w:hAnsi="Arial" w:cs="Arial"/>
          <w:b/>
        </w:rPr>
        <w:t>1999-2001</w:t>
      </w:r>
      <w:r w:rsidRPr="00E05732">
        <w:rPr>
          <w:rFonts w:ascii="Arial" w:eastAsia="Calibri" w:hAnsi="Arial" w:cs="Arial"/>
        </w:rPr>
        <w:t xml:space="preserve"> </w:t>
      </w:r>
      <w:r w:rsidRPr="00E05732">
        <w:rPr>
          <w:rFonts w:ascii="Arial" w:eastAsia="Calibri" w:hAnsi="Arial" w:cs="Arial"/>
        </w:rPr>
        <w:tab/>
        <w:t xml:space="preserve">młodszy asystent w </w:t>
      </w:r>
      <w:r w:rsidR="001507B6">
        <w:rPr>
          <w:rFonts w:ascii="Arial" w:eastAsia="Calibri" w:hAnsi="Arial" w:cs="Arial"/>
        </w:rPr>
        <w:t xml:space="preserve">Katedrze i </w:t>
      </w:r>
      <w:r w:rsidRPr="00E05732">
        <w:rPr>
          <w:rFonts w:ascii="Arial" w:eastAsia="Calibri" w:hAnsi="Arial" w:cs="Arial"/>
        </w:rPr>
        <w:t>Klinice Chorób Wewnętrznych i Endokrynologii</w:t>
      </w:r>
      <w:r w:rsidR="0076387C">
        <w:rPr>
          <w:rFonts w:ascii="Arial" w:hAnsi="Arial" w:cs="Arial"/>
        </w:rPr>
        <w:t>,</w:t>
      </w:r>
      <w:r w:rsidRPr="00E05732">
        <w:rPr>
          <w:rFonts w:ascii="Arial" w:eastAsia="Calibri" w:hAnsi="Arial" w:cs="Arial"/>
        </w:rPr>
        <w:t xml:space="preserve"> S</w:t>
      </w:r>
      <w:r w:rsidR="0076387C">
        <w:rPr>
          <w:rFonts w:ascii="Arial" w:hAnsi="Arial" w:cs="Arial"/>
        </w:rPr>
        <w:t xml:space="preserve">amodzielny Publiczny Centralny Szpital Kliniczny, </w:t>
      </w:r>
      <w:r w:rsidRPr="00E05732">
        <w:rPr>
          <w:rFonts w:ascii="Arial" w:eastAsia="Calibri" w:hAnsi="Arial" w:cs="Arial"/>
        </w:rPr>
        <w:t>Warszawa</w:t>
      </w:r>
    </w:p>
    <w:p w:rsidR="008363FB" w:rsidRPr="00E05732" w:rsidRDefault="008363FB" w:rsidP="008363FB">
      <w:pPr>
        <w:rPr>
          <w:rFonts w:ascii="Arial" w:eastAsia="Calibri" w:hAnsi="Arial" w:cs="Arial"/>
        </w:rPr>
      </w:pPr>
    </w:p>
    <w:p w:rsidR="00584337" w:rsidRDefault="008363FB" w:rsidP="008363FB">
      <w:pPr>
        <w:ind w:firstLine="708"/>
        <w:rPr>
          <w:rFonts w:ascii="Arial" w:eastAsia="Calibri" w:hAnsi="Arial" w:cs="Arial"/>
        </w:rPr>
      </w:pPr>
      <w:r w:rsidRPr="0076387C">
        <w:rPr>
          <w:rFonts w:ascii="Arial" w:eastAsia="Calibri" w:hAnsi="Arial" w:cs="Arial"/>
          <w:b/>
        </w:rPr>
        <w:t>2001-2005</w:t>
      </w:r>
      <w:r w:rsidRPr="00E05732">
        <w:rPr>
          <w:rFonts w:ascii="Arial" w:eastAsia="Calibri" w:hAnsi="Arial" w:cs="Arial"/>
        </w:rPr>
        <w:t xml:space="preserve">      asystent w </w:t>
      </w:r>
      <w:r w:rsidR="00584337">
        <w:rPr>
          <w:rFonts w:ascii="Arial" w:eastAsia="Calibri" w:hAnsi="Arial" w:cs="Arial"/>
        </w:rPr>
        <w:t xml:space="preserve">Katedrze i </w:t>
      </w:r>
      <w:r w:rsidRPr="00E05732">
        <w:rPr>
          <w:rFonts w:ascii="Arial" w:eastAsia="Calibri" w:hAnsi="Arial" w:cs="Arial"/>
        </w:rPr>
        <w:t>Klinice Chorób Wewnętrznych i  Endokrynologii</w:t>
      </w:r>
      <w:r w:rsidR="0076387C">
        <w:rPr>
          <w:rFonts w:ascii="Arial" w:hAnsi="Arial" w:cs="Arial"/>
        </w:rPr>
        <w:t>,</w:t>
      </w:r>
      <w:r w:rsidRPr="00E05732">
        <w:rPr>
          <w:rFonts w:ascii="Arial" w:eastAsia="Calibri" w:hAnsi="Arial" w:cs="Arial"/>
        </w:rPr>
        <w:t xml:space="preserve"> </w:t>
      </w:r>
      <w:r w:rsidR="00584337">
        <w:rPr>
          <w:rFonts w:ascii="Arial" w:eastAsia="Calibri" w:hAnsi="Arial" w:cs="Arial"/>
        </w:rPr>
        <w:t xml:space="preserve"> </w:t>
      </w:r>
    </w:p>
    <w:p w:rsidR="008363FB" w:rsidRPr="00E05732" w:rsidRDefault="00584337" w:rsidP="008363FB">
      <w:pPr>
        <w:ind w:firstLine="708"/>
        <w:rPr>
          <w:rFonts w:ascii="Arial" w:eastAsia="Calibri" w:hAnsi="Arial" w:cs="Arial"/>
        </w:rPr>
      </w:pPr>
      <w:r>
        <w:rPr>
          <w:rFonts w:ascii="Arial" w:eastAsia="Calibri" w:hAnsi="Arial" w:cs="Arial"/>
        </w:rPr>
        <w:t xml:space="preserve">                       </w:t>
      </w:r>
      <w:r w:rsidR="008363FB" w:rsidRPr="00E05732">
        <w:rPr>
          <w:rFonts w:ascii="Arial" w:eastAsia="Calibri" w:hAnsi="Arial" w:cs="Arial"/>
        </w:rPr>
        <w:t>W</w:t>
      </w:r>
      <w:r w:rsidR="008F79F0">
        <w:rPr>
          <w:rFonts w:ascii="Arial" w:eastAsia="Calibri" w:hAnsi="Arial" w:cs="Arial"/>
        </w:rPr>
        <w:t xml:space="preserve">arszawski </w:t>
      </w:r>
      <w:r w:rsidR="008363FB" w:rsidRPr="00E05732">
        <w:rPr>
          <w:rFonts w:ascii="Arial" w:eastAsia="Calibri" w:hAnsi="Arial" w:cs="Arial"/>
        </w:rPr>
        <w:t>U</w:t>
      </w:r>
      <w:r w:rsidR="008F79F0">
        <w:rPr>
          <w:rFonts w:ascii="Arial" w:eastAsia="Calibri" w:hAnsi="Arial" w:cs="Arial"/>
        </w:rPr>
        <w:t xml:space="preserve">niwersytet </w:t>
      </w:r>
      <w:r w:rsidR="008363FB" w:rsidRPr="00E05732">
        <w:rPr>
          <w:rFonts w:ascii="Arial" w:eastAsia="Calibri" w:hAnsi="Arial" w:cs="Arial"/>
        </w:rPr>
        <w:t>M</w:t>
      </w:r>
      <w:r w:rsidR="008F79F0">
        <w:rPr>
          <w:rFonts w:ascii="Arial" w:eastAsia="Calibri" w:hAnsi="Arial" w:cs="Arial"/>
        </w:rPr>
        <w:t>edyczny</w:t>
      </w:r>
      <w:r w:rsidR="008363FB" w:rsidRPr="00E05732">
        <w:rPr>
          <w:rFonts w:ascii="Arial" w:eastAsia="Calibri" w:hAnsi="Arial" w:cs="Arial"/>
        </w:rPr>
        <w:t xml:space="preserve">  </w:t>
      </w:r>
    </w:p>
    <w:p w:rsidR="008F79F0" w:rsidRDefault="008363FB" w:rsidP="008363FB">
      <w:pPr>
        <w:rPr>
          <w:rFonts w:ascii="Arial" w:eastAsia="Calibri" w:hAnsi="Arial" w:cs="Arial"/>
        </w:rPr>
      </w:pPr>
      <w:r w:rsidRPr="00E05732">
        <w:rPr>
          <w:rFonts w:ascii="Arial" w:eastAsia="Calibri" w:hAnsi="Arial" w:cs="Arial"/>
        </w:rPr>
        <w:t xml:space="preserve">                                   Poradnia Endokrynologiczna</w:t>
      </w:r>
      <w:r w:rsidR="00F412AE">
        <w:rPr>
          <w:rFonts w:ascii="Arial" w:eastAsia="Calibri" w:hAnsi="Arial" w:cs="Arial"/>
        </w:rPr>
        <w:t xml:space="preserve"> </w:t>
      </w:r>
      <w:r w:rsidR="008F79F0">
        <w:rPr>
          <w:rFonts w:ascii="Arial" w:eastAsia="Calibri" w:hAnsi="Arial" w:cs="Arial"/>
        </w:rPr>
        <w:t xml:space="preserve">przy </w:t>
      </w:r>
      <w:r w:rsidR="00F412AE">
        <w:rPr>
          <w:rFonts w:ascii="Arial" w:eastAsia="Calibri" w:hAnsi="Arial" w:cs="Arial"/>
        </w:rPr>
        <w:t>S</w:t>
      </w:r>
      <w:r w:rsidR="008F79F0">
        <w:rPr>
          <w:rFonts w:ascii="Arial" w:eastAsia="Calibri" w:hAnsi="Arial" w:cs="Arial"/>
        </w:rPr>
        <w:t xml:space="preserve">amodzielnym Publicznym </w:t>
      </w:r>
    </w:p>
    <w:p w:rsidR="008363FB" w:rsidRPr="00E05732" w:rsidRDefault="008F79F0" w:rsidP="008F79F0">
      <w:pPr>
        <w:ind w:left="2127"/>
        <w:rPr>
          <w:rFonts w:ascii="Arial" w:eastAsia="Calibri" w:hAnsi="Arial" w:cs="Arial"/>
        </w:rPr>
      </w:pPr>
      <w:r>
        <w:rPr>
          <w:rFonts w:ascii="Arial" w:eastAsia="Calibri" w:hAnsi="Arial" w:cs="Arial"/>
        </w:rPr>
        <w:t xml:space="preserve">Centralnym Szpitalu Klinicznym </w:t>
      </w:r>
      <w:r w:rsidR="00F412AE">
        <w:rPr>
          <w:rFonts w:ascii="Arial" w:eastAsia="Calibri" w:hAnsi="Arial" w:cs="Arial"/>
        </w:rPr>
        <w:t xml:space="preserve"> </w:t>
      </w:r>
      <w:r w:rsidR="008363FB" w:rsidRPr="00E05732">
        <w:rPr>
          <w:rFonts w:ascii="Arial" w:eastAsia="Calibri" w:hAnsi="Arial" w:cs="Arial"/>
        </w:rPr>
        <w:t xml:space="preserve">                </w:t>
      </w:r>
    </w:p>
    <w:p w:rsidR="008363FB" w:rsidRPr="00E05732" w:rsidRDefault="008363FB" w:rsidP="008363FB">
      <w:pPr>
        <w:rPr>
          <w:rFonts w:ascii="Arial" w:eastAsia="Calibri" w:hAnsi="Arial" w:cs="Arial"/>
        </w:rPr>
      </w:pPr>
    </w:p>
    <w:p w:rsidR="00584337" w:rsidRDefault="008363FB" w:rsidP="008363FB">
      <w:pPr>
        <w:ind w:firstLine="708"/>
        <w:rPr>
          <w:rFonts w:ascii="Arial" w:eastAsia="Calibri" w:hAnsi="Arial" w:cs="Arial"/>
        </w:rPr>
      </w:pPr>
      <w:r w:rsidRPr="0076387C">
        <w:rPr>
          <w:rFonts w:ascii="Arial" w:eastAsia="Calibri" w:hAnsi="Arial" w:cs="Arial"/>
          <w:b/>
        </w:rPr>
        <w:t>2005-</w:t>
      </w:r>
      <w:r w:rsidRPr="00E05732">
        <w:rPr>
          <w:rFonts w:ascii="Arial" w:eastAsia="Calibri" w:hAnsi="Arial" w:cs="Arial"/>
        </w:rPr>
        <w:t xml:space="preserve">  </w:t>
      </w:r>
      <w:r w:rsidRPr="00E05732">
        <w:rPr>
          <w:rFonts w:ascii="Arial" w:eastAsia="Calibri" w:hAnsi="Arial" w:cs="Arial"/>
        </w:rPr>
        <w:tab/>
      </w:r>
      <w:r w:rsidRPr="00E05732">
        <w:rPr>
          <w:rFonts w:ascii="Arial" w:eastAsia="Calibri" w:hAnsi="Arial" w:cs="Arial"/>
        </w:rPr>
        <w:tab/>
      </w:r>
      <w:r w:rsidRPr="00E05732">
        <w:rPr>
          <w:rFonts w:ascii="Arial" w:hAnsi="Arial" w:cs="Arial"/>
        </w:rPr>
        <w:t>ad</w:t>
      </w:r>
      <w:r w:rsidRPr="00E05732">
        <w:rPr>
          <w:rFonts w:ascii="Arial" w:eastAsia="Calibri" w:hAnsi="Arial" w:cs="Arial"/>
        </w:rPr>
        <w:t xml:space="preserve">iunkt w </w:t>
      </w:r>
      <w:r w:rsidR="00584337">
        <w:rPr>
          <w:rFonts w:ascii="Arial" w:eastAsia="Calibri" w:hAnsi="Arial" w:cs="Arial"/>
        </w:rPr>
        <w:t xml:space="preserve">Katedrze i </w:t>
      </w:r>
      <w:r w:rsidRPr="00E05732">
        <w:rPr>
          <w:rFonts w:ascii="Arial" w:eastAsia="Calibri" w:hAnsi="Arial" w:cs="Arial"/>
        </w:rPr>
        <w:t>Klinice Chorób Wewnętrznych i Endokrynologii</w:t>
      </w:r>
      <w:r w:rsidR="0076387C">
        <w:rPr>
          <w:rFonts w:ascii="Arial" w:hAnsi="Arial" w:cs="Arial"/>
        </w:rPr>
        <w:t>,</w:t>
      </w:r>
      <w:r w:rsidRPr="00E05732">
        <w:rPr>
          <w:rFonts w:ascii="Arial" w:eastAsia="Calibri" w:hAnsi="Arial" w:cs="Arial"/>
        </w:rPr>
        <w:t xml:space="preserve"> </w:t>
      </w:r>
    </w:p>
    <w:p w:rsidR="008363FB" w:rsidRPr="00E05732" w:rsidRDefault="00584337" w:rsidP="008363FB">
      <w:pPr>
        <w:ind w:firstLine="708"/>
        <w:rPr>
          <w:rFonts w:ascii="Arial" w:eastAsia="Calibri" w:hAnsi="Arial" w:cs="Arial"/>
        </w:rPr>
      </w:pPr>
      <w:r>
        <w:rPr>
          <w:rFonts w:ascii="Arial" w:eastAsia="Calibri" w:hAnsi="Arial" w:cs="Arial"/>
        </w:rPr>
        <w:t xml:space="preserve">                       </w:t>
      </w:r>
      <w:r w:rsidR="008363FB" w:rsidRPr="00E05732">
        <w:rPr>
          <w:rFonts w:ascii="Arial" w:eastAsia="Calibri" w:hAnsi="Arial" w:cs="Arial"/>
        </w:rPr>
        <w:t>W</w:t>
      </w:r>
      <w:r w:rsidR="008F79F0">
        <w:rPr>
          <w:rFonts w:ascii="Arial" w:eastAsia="Calibri" w:hAnsi="Arial" w:cs="Arial"/>
        </w:rPr>
        <w:t xml:space="preserve">arszawski </w:t>
      </w:r>
      <w:r w:rsidR="008363FB" w:rsidRPr="00E05732">
        <w:rPr>
          <w:rFonts w:ascii="Arial" w:eastAsia="Calibri" w:hAnsi="Arial" w:cs="Arial"/>
        </w:rPr>
        <w:t>U</w:t>
      </w:r>
      <w:r w:rsidR="008F79F0">
        <w:rPr>
          <w:rFonts w:ascii="Arial" w:eastAsia="Calibri" w:hAnsi="Arial" w:cs="Arial"/>
        </w:rPr>
        <w:t>niwersytet Medyczny</w:t>
      </w:r>
      <w:r w:rsidR="008363FB" w:rsidRPr="00E05732">
        <w:rPr>
          <w:rFonts w:ascii="Arial" w:eastAsia="Calibri" w:hAnsi="Arial" w:cs="Arial"/>
        </w:rPr>
        <w:t xml:space="preserve">   </w:t>
      </w:r>
    </w:p>
    <w:p w:rsidR="008F79F0" w:rsidRDefault="008363FB" w:rsidP="008363FB">
      <w:pPr>
        <w:rPr>
          <w:rFonts w:ascii="Arial" w:eastAsia="Calibri" w:hAnsi="Arial" w:cs="Arial"/>
        </w:rPr>
      </w:pPr>
      <w:r w:rsidRPr="00E05732">
        <w:rPr>
          <w:rFonts w:ascii="Arial" w:eastAsia="Calibri" w:hAnsi="Arial" w:cs="Arial"/>
        </w:rPr>
        <w:t xml:space="preserve">                          </w:t>
      </w:r>
      <w:r w:rsidR="00F412AE">
        <w:rPr>
          <w:rFonts w:ascii="Arial" w:eastAsia="Calibri" w:hAnsi="Arial" w:cs="Arial"/>
        </w:rPr>
        <w:t xml:space="preserve">         Poradnia </w:t>
      </w:r>
      <w:r w:rsidRPr="00E05732">
        <w:rPr>
          <w:rFonts w:ascii="Arial" w:eastAsia="Calibri" w:hAnsi="Arial" w:cs="Arial"/>
        </w:rPr>
        <w:t>Endokrynologiczna</w:t>
      </w:r>
      <w:r w:rsidR="00F412AE">
        <w:rPr>
          <w:rFonts w:ascii="Arial" w:eastAsia="Calibri" w:hAnsi="Arial" w:cs="Arial"/>
        </w:rPr>
        <w:t xml:space="preserve"> </w:t>
      </w:r>
      <w:r w:rsidR="008F79F0">
        <w:rPr>
          <w:rFonts w:ascii="Arial" w:eastAsia="Calibri" w:hAnsi="Arial" w:cs="Arial"/>
        </w:rPr>
        <w:t xml:space="preserve">przy </w:t>
      </w:r>
      <w:r w:rsidR="00F412AE">
        <w:rPr>
          <w:rFonts w:ascii="Arial" w:eastAsia="Calibri" w:hAnsi="Arial" w:cs="Arial"/>
        </w:rPr>
        <w:t>S</w:t>
      </w:r>
      <w:r w:rsidR="008F79F0">
        <w:rPr>
          <w:rFonts w:ascii="Arial" w:eastAsia="Calibri" w:hAnsi="Arial" w:cs="Arial"/>
        </w:rPr>
        <w:t xml:space="preserve">amodzielnym </w:t>
      </w:r>
      <w:r w:rsidR="00F412AE">
        <w:rPr>
          <w:rFonts w:ascii="Arial" w:eastAsia="Calibri" w:hAnsi="Arial" w:cs="Arial"/>
        </w:rPr>
        <w:t>P</w:t>
      </w:r>
      <w:r w:rsidR="008F79F0">
        <w:rPr>
          <w:rFonts w:ascii="Arial" w:eastAsia="Calibri" w:hAnsi="Arial" w:cs="Arial"/>
        </w:rPr>
        <w:t xml:space="preserve">ublicznym </w:t>
      </w:r>
    </w:p>
    <w:p w:rsidR="0076387C" w:rsidRDefault="00F412AE" w:rsidP="008F79F0">
      <w:pPr>
        <w:ind w:left="2127"/>
        <w:rPr>
          <w:rFonts w:ascii="Arial" w:eastAsia="Calibri" w:hAnsi="Arial" w:cs="Arial"/>
        </w:rPr>
      </w:pPr>
      <w:r>
        <w:rPr>
          <w:rFonts w:ascii="Arial" w:eastAsia="Calibri" w:hAnsi="Arial" w:cs="Arial"/>
        </w:rPr>
        <w:t>C</w:t>
      </w:r>
      <w:r w:rsidR="008F79F0">
        <w:rPr>
          <w:rFonts w:ascii="Arial" w:eastAsia="Calibri" w:hAnsi="Arial" w:cs="Arial"/>
        </w:rPr>
        <w:t xml:space="preserve">entralnym </w:t>
      </w:r>
      <w:r>
        <w:rPr>
          <w:rFonts w:ascii="Arial" w:eastAsia="Calibri" w:hAnsi="Arial" w:cs="Arial"/>
        </w:rPr>
        <w:t>S</w:t>
      </w:r>
      <w:r w:rsidR="008F79F0">
        <w:rPr>
          <w:rFonts w:ascii="Arial" w:eastAsia="Calibri" w:hAnsi="Arial" w:cs="Arial"/>
        </w:rPr>
        <w:t xml:space="preserve">zpitali Klinicznym </w:t>
      </w:r>
      <w:r w:rsidR="008363FB" w:rsidRPr="00E05732">
        <w:rPr>
          <w:rFonts w:ascii="Arial" w:eastAsia="Calibri" w:hAnsi="Arial" w:cs="Arial"/>
        </w:rPr>
        <w:t xml:space="preserve">      </w:t>
      </w:r>
    </w:p>
    <w:p w:rsidR="003E7671" w:rsidRDefault="003E7671" w:rsidP="008363FB">
      <w:pPr>
        <w:rPr>
          <w:rFonts w:ascii="Arial" w:eastAsia="Calibri" w:hAnsi="Arial" w:cs="Arial"/>
        </w:rPr>
      </w:pPr>
    </w:p>
    <w:p w:rsidR="008007D7" w:rsidRDefault="003E7671" w:rsidP="008363FB">
      <w:pPr>
        <w:rPr>
          <w:rFonts w:ascii="Arial" w:eastAsia="Calibri" w:hAnsi="Arial" w:cs="Arial"/>
          <w:b/>
          <w:i/>
        </w:rPr>
      </w:pPr>
      <w:r w:rsidRPr="003E7671">
        <w:rPr>
          <w:rFonts w:ascii="Arial" w:eastAsia="Calibri" w:hAnsi="Arial" w:cs="Arial"/>
          <w:b/>
        </w:rPr>
        <w:t xml:space="preserve">Dorobek naukowy </w:t>
      </w:r>
      <w:r w:rsidR="008007D7">
        <w:rPr>
          <w:rFonts w:ascii="Arial" w:eastAsia="Calibri" w:hAnsi="Arial" w:cs="Arial"/>
          <w:b/>
        </w:rPr>
        <w:t xml:space="preserve"> (</w:t>
      </w:r>
      <w:r w:rsidR="008007D7">
        <w:rPr>
          <w:rFonts w:ascii="Arial" w:eastAsia="Calibri" w:hAnsi="Arial" w:cs="Arial"/>
          <w:b/>
          <w:i/>
        </w:rPr>
        <w:t>d</w:t>
      </w:r>
      <w:r w:rsidR="008007D7" w:rsidRPr="008007D7">
        <w:rPr>
          <w:rFonts w:ascii="Arial" w:eastAsia="Calibri" w:hAnsi="Arial" w:cs="Arial"/>
          <w:b/>
          <w:i/>
        </w:rPr>
        <w:t xml:space="preserve">ane </w:t>
      </w:r>
      <w:proofErr w:type="spellStart"/>
      <w:r w:rsidR="008007D7">
        <w:rPr>
          <w:rFonts w:ascii="Arial" w:eastAsia="Calibri" w:hAnsi="Arial" w:cs="Arial"/>
          <w:b/>
          <w:i/>
        </w:rPr>
        <w:t>bibliometryczne</w:t>
      </w:r>
      <w:proofErr w:type="spellEnd"/>
      <w:r w:rsidR="008007D7">
        <w:rPr>
          <w:rFonts w:ascii="Arial" w:eastAsia="Calibri" w:hAnsi="Arial" w:cs="Arial"/>
          <w:b/>
          <w:i/>
        </w:rPr>
        <w:t xml:space="preserve"> z dnia 21.03.2018 )</w:t>
      </w:r>
    </w:p>
    <w:p w:rsidR="0092256B" w:rsidRPr="0092256B" w:rsidRDefault="0092256B" w:rsidP="0092256B">
      <w:pPr>
        <w:spacing w:line="360" w:lineRule="auto"/>
        <w:ind w:firstLine="708"/>
        <w:jc w:val="both"/>
        <w:rPr>
          <w:rFonts w:ascii="Arial" w:hAnsi="Arial" w:cs="Arial"/>
        </w:rPr>
      </w:pPr>
      <w:r w:rsidRPr="0092256B">
        <w:rPr>
          <w:rFonts w:ascii="Arial" w:hAnsi="Arial" w:cs="Arial"/>
        </w:rPr>
        <w:t xml:space="preserve">Mój dorobek naukowy (jako pierwszy autor i współautor) na dzień wykonania dołączonej do autoreferatu analizy </w:t>
      </w:r>
      <w:proofErr w:type="spellStart"/>
      <w:r w:rsidRPr="0092256B">
        <w:rPr>
          <w:rFonts w:ascii="Arial" w:hAnsi="Arial" w:cs="Arial"/>
        </w:rPr>
        <w:t>bibliometrycznej</w:t>
      </w:r>
      <w:proofErr w:type="spellEnd"/>
      <w:r w:rsidRPr="0092256B">
        <w:rPr>
          <w:rFonts w:ascii="Arial" w:hAnsi="Arial" w:cs="Arial"/>
        </w:rPr>
        <w:t xml:space="preserve"> obejmuje:</w:t>
      </w:r>
    </w:p>
    <w:p w:rsidR="008007D7" w:rsidRPr="008007D7" w:rsidRDefault="003E7671" w:rsidP="003E7671">
      <w:pPr>
        <w:spacing w:line="360" w:lineRule="auto"/>
        <w:ind w:firstLine="708"/>
        <w:jc w:val="both"/>
        <w:rPr>
          <w:rFonts w:ascii="Arial" w:hAnsi="Arial" w:cs="Arial"/>
        </w:rPr>
      </w:pPr>
      <w:r w:rsidRPr="008007D7">
        <w:rPr>
          <w:rFonts w:ascii="Arial" w:hAnsi="Arial" w:cs="Arial"/>
        </w:rPr>
        <w:t xml:space="preserve"> </w:t>
      </w:r>
    </w:p>
    <w:p w:rsidR="008007D7" w:rsidRDefault="003E7671" w:rsidP="008007D7">
      <w:pPr>
        <w:pStyle w:val="Akapitzlist"/>
        <w:numPr>
          <w:ilvl w:val="0"/>
          <w:numId w:val="28"/>
        </w:numPr>
        <w:spacing w:line="360" w:lineRule="auto"/>
        <w:ind w:left="709"/>
        <w:jc w:val="both"/>
        <w:rPr>
          <w:rFonts w:ascii="Arial" w:hAnsi="Arial" w:cs="Arial"/>
        </w:rPr>
      </w:pPr>
      <w:r w:rsidRPr="008007D7">
        <w:rPr>
          <w:rFonts w:ascii="Arial" w:hAnsi="Arial" w:cs="Arial"/>
        </w:rPr>
        <w:t xml:space="preserve">19 </w:t>
      </w:r>
      <w:proofErr w:type="spellStart"/>
      <w:r w:rsidRPr="008007D7">
        <w:rPr>
          <w:rFonts w:ascii="Arial" w:hAnsi="Arial" w:cs="Arial"/>
        </w:rPr>
        <w:t>pełnotekstowych</w:t>
      </w:r>
      <w:proofErr w:type="spellEnd"/>
      <w:r w:rsidRPr="008007D7">
        <w:rPr>
          <w:rFonts w:ascii="Arial" w:hAnsi="Arial" w:cs="Arial"/>
        </w:rPr>
        <w:t xml:space="preserve"> prac oryginalnych</w:t>
      </w:r>
      <w:r w:rsidR="008007D7">
        <w:rPr>
          <w:rFonts w:ascii="Arial" w:hAnsi="Arial" w:cs="Arial"/>
        </w:rPr>
        <w:t xml:space="preserve">, </w:t>
      </w:r>
      <w:r w:rsidRPr="008007D7">
        <w:rPr>
          <w:rFonts w:ascii="Arial" w:hAnsi="Arial" w:cs="Arial"/>
        </w:rPr>
        <w:t xml:space="preserve"> w tym 15 z IF,</w:t>
      </w:r>
      <w:r w:rsidR="008007D7">
        <w:rPr>
          <w:rFonts w:ascii="Arial" w:hAnsi="Arial" w:cs="Arial"/>
        </w:rPr>
        <w:t xml:space="preserve"> (18 po doktoracie)</w:t>
      </w:r>
      <w:r w:rsidR="0092256B">
        <w:rPr>
          <w:rFonts w:ascii="Arial" w:hAnsi="Arial" w:cs="Arial"/>
        </w:rPr>
        <w:t>,</w:t>
      </w:r>
      <w:r w:rsidRPr="008007D7">
        <w:rPr>
          <w:rFonts w:ascii="Arial" w:hAnsi="Arial" w:cs="Arial"/>
        </w:rPr>
        <w:t xml:space="preserve"> </w:t>
      </w:r>
    </w:p>
    <w:p w:rsidR="008007D7" w:rsidRDefault="008007D7" w:rsidP="008007D7">
      <w:pPr>
        <w:pStyle w:val="Akapitzlist"/>
        <w:numPr>
          <w:ilvl w:val="0"/>
          <w:numId w:val="28"/>
        </w:numPr>
        <w:spacing w:line="360" w:lineRule="auto"/>
        <w:ind w:left="709"/>
        <w:jc w:val="both"/>
        <w:rPr>
          <w:rFonts w:ascii="Arial" w:hAnsi="Arial" w:cs="Arial"/>
        </w:rPr>
      </w:pPr>
      <w:r>
        <w:rPr>
          <w:rFonts w:ascii="Arial" w:hAnsi="Arial" w:cs="Arial"/>
        </w:rPr>
        <w:t xml:space="preserve">1 </w:t>
      </w:r>
      <w:r w:rsidR="003E7671" w:rsidRPr="008007D7">
        <w:rPr>
          <w:rFonts w:ascii="Arial" w:hAnsi="Arial" w:cs="Arial"/>
        </w:rPr>
        <w:t>listu</w:t>
      </w:r>
      <w:r>
        <w:rPr>
          <w:rFonts w:ascii="Arial" w:hAnsi="Arial" w:cs="Arial"/>
        </w:rPr>
        <w:t xml:space="preserve"> (</w:t>
      </w:r>
      <w:proofErr w:type="spellStart"/>
      <w:r>
        <w:rPr>
          <w:rFonts w:ascii="Arial" w:hAnsi="Arial" w:cs="Arial"/>
        </w:rPr>
        <w:t>research</w:t>
      </w:r>
      <w:proofErr w:type="spellEnd"/>
      <w:r>
        <w:rPr>
          <w:rFonts w:ascii="Arial" w:hAnsi="Arial" w:cs="Arial"/>
        </w:rPr>
        <w:t xml:space="preserve"> </w:t>
      </w:r>
      <w:proofErr w:type="spellStart"/>
      <w:r>
        <w:rPr>
          <w:rFonts w:ascii="Arial" w:hAnsi="Arial" w:cs="Arial"/>
        </w:rPr>
        <w:t>letter</w:t>
      </w:r>
      <w:proofErr w:type="spellEnd"/>
      <w:r>
        <w:rPr>
          <w:rFonts w:ascii="Arial" w:hAnsi="Arial" w:cs="Arial"/>
        </w:rPr>
        <w:t>)</w:t>
      </w:r>
      <w:r w:rsidR="003E7671" w:rsidRPr="008007D7">
        <w:rPr>
          <w:rFonts w:ascii="Arial" w:hAnsi="Arial" w:cs="Arial"/>
        </w:rPr>
        <w:t xml:space="preserve"> w postaci pracy oryginalnej (z IF)</w:t>
      </w:r>
      <w:r w:rsidR="0092256B">
        <w:rPr>
          <w:rFonts w:ascii="Arial" w:hAnsi="Arial" w:cs="Arial"/>
        </w:rPr>
        <w:t xml:space="preserve"> (po doktoracie),</w:t>
      </w:r>
    </w:p>
    <w:p w:rsidR="008007D7" w:rsidRDefault="008007D7" w:rsidP="008007D7">
      <w:pPr>
        <w:pStyle w:val="Akapitzlist"/>
        <w:numPr>
          <w:ilvl w:val="0"/>
          <w:numId w:val="28"/>
        </w:numPr>
        <w:spacing w:line="360" w:lineRule="auto"/>
        <w:ind w:left="709"/>
        <w:jc w:val="both"/>
        <w:rPr>
          <w:rFonts w:ascii="Arial" w:hAnsi="Arial" w:cs="Arial"/>
        </w:rPr>
      </w:pPr>
      <w:r>
        <w:rPr>
          <w:rFonts w:ascii="Arial" w:hAnsi="Arial" w:cs="Arial"/>
        </w:rPr>
        <w:t>17</w:t>
      </w:r>
      <w:r w:rsidR="003E7671" w:rsidRPr="008007D7">
        <w:rPr>
          <w:rFonts w:ascii="Arial" w:hAnsi="Arial" w:cs="Arial"/>
        </w:rPr>
        <w:t xml:space="preserve"> opisów przypadków</w:t>
      </w:r>
      <w:r>
        <w:rPr>
          <w:rFonts w:ascii="Arial" w:hAnsi="Arial" w:cs="Arial"/>
        </w:rPr>
        <w:t xml:space="preserve"> </w:t>
      </w:r>
      <w:r w:rsidR="003E7671" w:rsidRPr="008007D7">
        <w:rPr>
          <w:rFonts w:ascii="Arial" w:hAnsi="Arial" w:cs="Arial"/>
        </w:rPr>
        <w:t xml:space="preserve"> </w:t>
      </w:r>
      <w:r w:rsidR="0092256B">
        <w:rPr>
          <w:rFonts w:ascii="Arial" w:hAnsi="Arial" w:cs="Arial"/>
        </w:rPr>
        <w:t>(16 po doktoracie),</w:t>
      </w:r>
    </w:p>
    <w:p w:rsidR="008007D7" w:rsidRDefault="008007D7" w:rsidP="008007D7">
      <w:pPr>
        <w:pStyle w:val="Akapitzlist"/>
        <w:numPr>
          <w:ilvl w:val="0"/>
          <w:numId w:val="28"/>
        </w:numPr>
        <w:spacing w:line="360" w:lineRule="auto"/>
        <w:ind w:left="709"/>
        <w:jc w:val="both"/>
        <w:rPr>
          <w:rFonts w:ascii="Arial" w:hAnsi="Arial" w:cs="Arial"/>
        </w:rPr>
      </w:pPr>
      <w:r>
        <w:rPr>
          <w:rFonts w:ascii="Arial" w:hAnsi="Arial" w:cs="Arial"/>
        </w:rPr>
        <w:t>1</w:t>
      </w:r>
      <w:r w:rsidR="003E7671" w:rsidRPr="008007D7">
        <w:rPr>
          <w:rFonts w:ascii="Arial" w:hAnsi="Arial" w:cs="Arial"/>
        </w:rPr>
        <w:t>6 prac poglądowych</w:t>
      </w:r>
      <w:r w:rsidR="0092256B">
        <w:rPr>
          <w:rFonts w:ascii="Arial" w:hAnsi="Arial" w:cs="Arial"/>
        </w:rPr>
        <w:t xml:space="preserve"> (15 po doktoracie)</w:t>
      </w:r>
      <w:r w:rsidR="003E7671" w:rsidRPr="008007D7">
        <w:rPr>
          <w:rFonts w:ascii="Arial" w:hAnsi="Arial" w:cs="Arial"/>
        </w:rPr>
        <w:t xml:space="preserve">, </w:t>
      </w:r>
    </w:p>
    <w:p w:rsidR="008007D7" w:rsidRDefault="008007D7" w:rsidP="008007D7">
      <w:pPr>
        <w:pStyle w:val="Akapitzlist"/>
        <w:numPr>
          <w:ilvl w:val="0"/>
          <w:numId w:val="28"/>
        </w:numPr>
        <w:spacing w:line="360" w:lineRule="auto"/>
        <w:ind w:left="709"/>
        <w:jc w:val="both"/>
        <w:rPr>
          <w:rFonts w:ascii="Arial" w:hAnsi="Arial" w:cs="Arial"/>
        </w:rPr>
      </w:pPr>
      <w:r>
        <w:rPr>
          <w:rFonts w:ascii="Arial" w:hAnsi="Arial" w:cs="Arial"/>
        </w:rPr>
        <w:t>19</w:t>
      </w:r>
      <w:r w:rsidR="003E7671" w:rsidRPr="008007D7">
        <w:rPr>
          <w:rFonts w:ascii="Arial" w:hAnsi="Arial" w:cs="Arial"/>
        </w:rPr>
        <w:t xml:space="preserve"> rozdziałów w monografiach</w:t>
      </w:r>
      <w:r w:rsidR="0092256B">
        <w:rPr>
          <w:rFonts w:ascii="Arial" w:hAnsi="Arial" w:cs="Arial"/>
        </w:rPr>
        <w:t xml:space="preserve"> (</w:t>
      </w:r>
      <w:r w:rsidR="009956E8">
        <w:rPr>
          <w:rFonts w:ascii="Arial" w:hAnsi="Arial" w:cs="Arial"/>
        </w:rPr>
        <w:t xml:space="preserve">19 </w:t>
      </w:r>
      <w:r w:rsidR="0092256B">
        <w:rPr>
          <w:rFonts w:ascii="Arial" w:hAnsi="Arial" w:cs="Arial"/>
        </w:rPr>
        <w:t>po doktoracie)</w:t>
      </w:r>
      <w:r w:rsidR="003E7671" w:rsidRPr="008007D7">
        <w:rPr>
          <w:rFonts w:ascii="Arial" w:hAnsi="Arial" w:cs="Arial"/>
        </w:rPr>
        <w:t xml:space="preserve">, </w:t>
      </w:r>
    </w:p>
    <w:p w:rsidR="008007D7" w:rsidRPr="008007D7" w:rsidRDefault="008007D7" w:rsidP="008007D7">
      <w:pPr>
        <w:pStyle w:val="Akapitzlist"/>
        <w:numPr>
          <w:ilvl w:val="0"/>
          <w:numId w:val="28"/>
        </w:numPr>
        <w:spacing w:line="360" w:lineRule="auto"/>
        <w:ind w:left="709"/>
        <w:jc w:val="both"/>
        <w:rPr>
          <w:rFonts w:ascii="Arial" w:hAnsi="Arial" w:cs="Arial"/>
        </w:rPr>
      </w:pPr>
      <w:r w:rsidRPr="008007D7">
        <w:rPr>
          <w:rFonts w:ascii="Arial" w:hAnsi="Arial" w:cs="Arial"/>
        </w:rPr>
        <w:t>11</w:t>
      </w:r>
      <w:r w:rsidR="003E7671" w:rsidRPr="008007D7">
        <w:rPr>
          <w:rFonts w:ascii="Arial" w:hAnsi="Arial" w:cs="Arial"/>
        </w:rPr>
        <w:t xml:space="preserve"> prac w suplementach czasopism</w:t>
      </w:r>
      <w:r w:rsidR="0092256B">
        <w:rPr>
          <w:rFonts w:ascii="Arial" w:hAnsi="Arial" w:cs="Arial"/>
        </w:rPr>
        <w:t xml:space="preserve"> (9 po doktoracie),</w:t>
      </w:r>
      <w:r w:rsidR="003E7671" w:rsidRPr="008007D7">
        <w:rPr>
          <w:rFonts w:ascii="Arial" w:hAnsi="Arial" w:cs="Arial"/>
        </w:rPr>
        <w:t xml:space="preserve">  </w:t>
      </w:r>
    </w:p>
    <w:p w:rsidR="003E7671" w:rsidRPr="008007D7" w:rsidRDefault="008007D7" w:rsidP="008007D7">
      <w:pPr>
        <w:pStyle w:val="Akapitzlist"/>
        <w:numPr>
          <w:ilvl w:val="0"/>
          <w:numId w:val="28"/>
        </w:numPr>
        <w:spacing w:line="360" w:lineRule="auto"/>
        <w:ind w:left="709"/>
        <w:jc w:val="both"/>
        <w:rPr>
          <w:rFonts w:ascii="Arial" w:hAnsi="Arial" w:cs="Arial"/>
        </w:rPr>
      </w:pPr>
      <w:r>
        <w:rPr>
          <w:rFonts w:ascii="Arial" w:hAnsi="Arial" w:cs="Arial"/>
        </w:rPr>
        <w:t>3</w:t>
      </w:r>
      <w:r w:rsidR="003E7671" w:rsidRPr="008007D7">
        <w:rPr>
          <w:rFonts w:ascii="Arial" w:hAnsi="Arial" w:cs="Arial"/>
        </w:rPr>
        <w:t>0 doniesień zjazdowych</w:t>
      </w:r>
      <w:r w:rsidR="0092256B">
        <w:rPr>
          <w:rFonts w:ascii="Arial" w:hAnsi="Arial" w:cs="Arial"/>
        </w:rPr>
        <w:t xml:space="preserve"> (26 po doktoracie)</w:t>
      </w:r>
      <w:r w:rsidR="003E7671" w:rsidRPr="008007D7">
        <w:rPr>
          <w:rFonts w:ascii="Arial" w:hAnsi="Arial" w:cs="Arial"/>
        </w:rPr>
        <w:t xml:space="preserve">. </w:t>
      </w:r>
    </w:p>
    <w:p w:rsidR="003E7671" w:rsidRDefault="003E7671" w:rsidP="008363FB">
      <w:pPr>
        <w:rPr>
          <w:rFonts w:ascii="Arial" w:eastAsia="Calibri" w:hAnsi="Arial" w:cs="Arial"/>
          <w:b/>
        </w:rPr>
      </w:pPr>
    </w:p>
    <w:p w:rsidR="00322E88" w:rsidRDefault="00322E88" w:rsidP="008363FB">
      <w:pPr>
        <w:rPr>
          <w:rFonts w:ascii="Arial" w:eastAsia="Calibri" w:hAnsi="Arial" w:cs="Arial"/>
          <w:b/>
        </w:rPr>
      </w:pPr>
    </w:p>
    <w:p w:rsidR="00322E88" w:rsidRDefault="00322E88" w:rsidP="008363FB">
      <w:pPr>
        <w:rPr>
          <w:rFonts w:ascii="Arial" w:eastAsia="Calibri" w:hAnsi="Arial" w:cs="Arial"/>
          <w:b/>
        </w:rPr>
      </w:pPr>
    </w:p>
    <w:p w:rsidR="00322E88" w:rsidRDefault="00322E88" w:rsidP="008363FB">
      <w:pPr>
        <w:rPr>
          <w:rFonts w:ascii="Arial" w:eastAsia="Calibri" w:hAnsi="Arial" w:cs="Arial"/>
          <w:b/>
        </w:rPr>
      </w:pPr>
    </w:p>
    <w:p w:rsidR="00322E88" w:rsidRDefault="00322E88" w:rsidP="008363FB">
      <w:pPr>
        <w:rPr>
          <w:rFonts w:ascii="Arial" w:eastAsia="Calibri" w:hAnsi="Arial" w:cs="Arial"/>
          <w:b/>
        </w:rPr>
      </w:pPr>
    </w:p>
    <w:p w:rsidR="003E7671" w:rsidRDefault="003E7671" w:rsidP="008363FB">
      <w:pPr>
        <w:rPr>
          <w:rFonts w:ascii="Arial" w:eastAsia="Calibri" w:hAnsi="Arial" w:cs="Arial"/>
          <w:b/>
        </w:rPr>
      </w:pPr>
    </w:p>
    <w:tbl>
      <w:tblPr>
        <w:tblW w:w="4944"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3798"/>
        <w:gridCol w:w="885"/>
        <w:gridCol w:w="1771"/>
        <w:gridCol w:w="884"/>
        <w:gridCol w:w="1771"/>
      </w:tblGrid>
      <w:tr w:rsidR="003E7671" w:rsidRPr="0092256B" w:rsidTr="00D37DAC">
        <w:trPr>
          <w:cantSplit/>
          <w:trHeight w:val="398"/>
        </w:trPr>
        <w:tc>
          <w:tcPr>
            <w:tcW w:w="2085" w:type="pct"/>
            <w:vMerge w:val="restart"/>
          </w:tcPr>
          <w:p w:rsidR="003E7671" w:rsidRPr="0092256B" w:rsidRDefault="003E7671" w:rsidP="00726E58">
            <w:pPr>
              <w:spacing w:line="360" w:lineRule="auto"/>
              <w:rPr>
                <w:rFonts w:cs="Arial"/>
                <w:b/>
              </w:rPr>
            </w:pPr>
          </w:p>
          <w:p w:rsidR="003E7671" w:rsidRPr="0092256B" w:rsidRDefault="003E7671" w:rsidP="00726E58">
            <w:pPr>
              <w:spacing w:line="360" w:lineRule="auto"/>
              <w:rPr>
                <w:rFonts w:cs="Arial"/>
                <w:b/>
              </w:rPr>
            </w:pPr>
          </w:p>
          <w:p w:rsidR="003E7671" w:rsidRPr="0092256B" w:rsidRDefault="003E7671" w:rsidP="00726E58">
            <w:pPr>
              <w:spacing w:line="360" w:lineRule="auto"/>
              <w:rPr>
                <w:rFonts w:cs="Arial"/>
                <w:b/>
              </w:rPr>
            </w:pPr>
          </w:p>
        </w:tc>
        <w:tc>
          <w:tcPr>
            <w:tcW w:w="1458" w:type="pct"/>
            <w:gridSpan w:val="2"/>
            <w:vAlign w:val="center"/>
          </w:tcPr>
          <w:p w:rsidR="003E7671" w:rsidRPr="0092256B" w:rsidRDefault="003E7671" w:rsidP="00726E58">
            <w:pPr>
              <w:spacing w:line="360" w:lineRule="auto"/>
              <w:jc w:val="center"/>
              <w:rPr>
                <w:rFonts w:ascii="Arial" w:hAnsi="Arial" w:cs="Arial"/>
                <w:b/>
                <w:bCs/>
                <w:smallCaps/>
              </w:rPr>
            </w:pPr>
            <w:r w:rsidRPr="0092256B">
              <w:rPr>
                <w:rFonts w:ascii="Arial" w:hAnsi="Arial" w:cs="Arial"/>
                <w:b/>
                <w:bCs/>
                <w:smallCaps/>
              </w:rPr>
              <w:t>Przed doktoratem</w:t>
            </w:r>
          </w:p>
        </w:tc>
        <w:tc>
          <w:tcPr>
            <w:tcW w:w="1457" w:type="pct"/>
            <w:gridSpan w:val="2"/>
            <w:vAlign w:val="center"/>
          </w:tcPr>
          <w:p w:rsidR="003E7671" w:rsidRPr="0092256B" w:rsidRDefault="003E7671" w:rsidP="00726E58">
            <w:pPr>
              <w:spacing w:line="360" w:lineRule="auto"/>
              <w:jc w:val="center"/>
              <w:rPr>
                <w:rFonts w:ascii="Arial" w:hAnsi="Arial" w:cs="Arial"/>
                <w:b/>
                <w:bCs/>
                <w:smallCaps/>
              </w:rPr>
            </w:pPr>
            <w:r w:rsidRPr="0092256B">
              <w:rPr>
                <w:rFonts w:ascii="Arial" w:hAnsi="Arial" w:cs="Arial"/>
                <w:b/>
                <w:bCs/>
                <w:smallCaps/>
              </w:rPr>
              <w:t>Po doktoracie</w:t>
            </w:r>
          </w:p>
        </w:tc>
      </w:tr>
      <w:tr w:rsidR="00D37DAC" w:rsidRPr="0092256B" w:rsidTr="00D37DAC">
        <w:trPr>
          <w:cantSplit/>
          <w:trHeight w:val="482"/>
        </w:trPr>
        <w:tc>
          <w:tcPr>
            <w:tcW w:w="2085" w:type="pct"/>
            <w:vMerge/>
          </w:tcPr>
          <w:p w:rsidR="00D37DAC" w:rsidRPr="0092256B" w:rsidRDefault="00D37DAC" w:rsidP="00726E58">
            <w:pPr>
              <w:spacing w:line="360" w:lineRule="auto"/>
              <w:rPr>
                <w:rFonts w:cs="Arial"/>
                <w:b/>
              </w:rPr>
            </w:pPr>
          </w:p>
        </w:tc>
        <w:tc>
          <w:tcPr>
            <w:tcW w:w="486" w:type="pct"/>
            <w:vAlign w:val="center"/>
          </w:tcPr>
          <w:p w:rsidR="00D37DAC" w:rsidRPr="0092256B" w:rsidRDefault="00D37DAC" w:rsidP="00726E58">
            <w:pPr>
              <w:spacing w:line="360" w:lineRule="auto"/>
              <w:jc w:val="center"/>
              <w:rPr>
                <w:rFonts w:ascii="Arial" w:hAnsi="Arial" w:cs="Arial"/>
                <w:b/>
                <w:bCs/>
              </w:rPr>
            </w:pPr>
            <w:r w:rsidRPr="0092256B">
              <w:rPr>
                <w:rFonts w:ascii="Arial" w:hAnsi="Arial" w:cs="Arial"/>
                <w:b/>
                <w:bCs/>
              </w:rPr>
              <w:t>IF</w:t>
            </w:r>
          </w:p>
        </w:tc>
        <w:tc>
          <w:tcPr>
            <w:tcW w:w="972" w:type="pct"/>
            <w:vAlign w:val="center"/>
          </w:tcPr>
          <w:p w:rsidR="00D37DAC" w:rsidRPr="0092256B" w:rsidRDefault="00D37DAC" w:rsidP="00726E58">
            <w:pPr>
              <w:spacing w:line="360" w:lineRule="auto"/>
              <w:jc w:val="center"/>
              <w:rPr>
                <w:rFonts w:ascii="Arial" w:hAnsi="Arial" w:cs="Arial"/>
                <w:b/>
                <w:bCs/>
              </w:rPr>
            </w:pPr>
            <w:proofErr w:type="spellStart"/>
            <w:r w:rsidRPr="0092256B">
              <w:rPr>
                <w:rFonts w:ascii="Arial" w:hAnsi="Arial" w:cs="Arial"/>
                <w:b/>
                <w:bCs/>
              </w:rPr>
              <w:t>MNiSW</w:t>
            </w:r>
            <w:proofErr w:type="spellEnd"/>
          </w:p>
        </w:tc>
        <w:tc>
          <w:tcPr>
            <w:tcW w:w="485" w:type="pct"/>
            <w:vAlign w:val="center"/>
          </w:tcPr>
          <w:p w:rsidR="00D37DAC" w:rsidRPr="0092256B" w:rsidRDefault="00D37DAC" w:rsidP="00726E58">
            <w:pPr>
              <w:spacing w:line="360" w:lineRule="auto"/>
              <w:jc w:val="center"/>
              <w:rPr>
                <w:rFonts w:ascii="Arial" w:hAnsi="Arial" w:cs="Arial"/>
                <w:b/>
                <w:bCs/>
              </w:rPr>
            </w:pPr>
            <w:r w:rsidRPr="0092256B">
              <w:rPr>
                <w:rFonts w:ascii="Arial" w:hAnsi="Arial" w:cs="Arial"/>
                <w:b/>
                <w:bCs/>
              </w:rPr>
              <w:t>IF</w:t>
            </w:r>
          </w:p>
        </w:tc>
        <w:tc>
          <w:tcPr>
            <w:tcW w:w="972" w:type="pct"/>
            <w:vAlign w:val="center"/>
          </w:tcPr>
          <w:p w:rsidR="00D37DAC" w:rsidRPr="0092256B" w:rsidRDefault="00D37DAC" w:rsidP="00726E58">
            <w:pPr>
              <w:spacing w:line="360" w:lineRule="auto"/>
              <w:jc w:val="center"/>
              <w:rPr>
                <w:rFonts w:ascii="Arial" w:hAnsi="Arial" w:cs="Arial"/>
                <w:b/>
                <w:bCs/>
              </w:rPr>
            </w:pPr>
            <w:proofErr w:type="spellStart"/>
            <w:r w:rsidRPr="0092256B">
              <w:rPr>
                <w:rFonts w:ascii="Arial" w:hAnsi="Arial" w:cs="Arial"/>
                <w:b/>
                <w:bCs/>
              </w:rPr>
              <w:t>MNiSW</w:t>
            </w:r>
            <w:proofErr w:type="spellEnd"/>
          </w:p>
        </w:tc>
      </w:tr>
      <w:tr w:rsidR="00D37DAC" w:rsidRPr="0092256B" w:rsidTr="00D37DAC">
        <w:trPr>
          <w:cantSplit/>
          <w:trHeight w:val="340"/>
        </w:trPr>
        <w:tc>
          <w:tcPr>
            <w:tcW w:w="2085" w:type="pct"/>
            <w:vAlign w:val="center"/>
          </w:tcPr>
          <w:p w:rsidR="00D37DAC" w:rsidRPr="0092256B" w:rsidRDefault="00D37DAC" w:rsidP="00726E58">
            <w:pPr>
              <w:spacing w:line="360" w:lineRule="auto"/>
              <w:rPr>
                <w:rFonts w:ascii="Arial" w:hAnsi="Arial" w:cs="Arial"/>
                <w:b/>
              </w:rPr>
            </w:pPr>
            <w:r w:rsidRPr="0092256B">
              <w:rPr>
                <w:rFonts w:ascii="Arial" w:hAnsi="Arial" w:cs="Arial"/>
                <w:b/>
              </w:rPr>
              <w:t xml:space="preserve">Oryginalne </w:t>
            </w:r>
            <w:proofErr w:type="spellStart"/>
            <w:r w:rsidRPr="0092256B">
              <w:rPr>
                <w:rFonts w:ascii="Arial" w:hAnsi="Arial" w:cs="Arial"/>
                <w:b/>
              </w:rPr>
              <w:t>pełnotekstowe</w:t>
            </w:r>
            <w:proofErr w:type="spellEnd"/>
            <w:r w:rsidRPr="0092256B">
              <w:rPr>
                <w:rFonts w:ascii="Arial" w:hAnsi="Arial" w:cs="Arial"/>
                <w:b/>
              </w:rPr>
              <w:t xml:space="preserve"> prace naukowe</w:t>
            </w:r>
          </w:p>
        </w:tc>
        <w:tc>
          <w:tcPr>
            <w:tcW w:w="486" w:type="pct"/>
            <w:vAlign w:val="center"/>
          </w:tcPr>
          <w:p w:rsidR="00D37DAC" w:rsidRPr="0092256B" w:rsidRDefault="00D37DAC" w:rsidP="00726E58">
            <w:pPr>
              <w:spacing w:line="360" w:lineRule="auto"/>
              <w:jc w:val="center"/>
              <w:rPr>
                <w:rFonts w:ascii="Arial" w:hAnsi="Arial" w:cs="Arial"/>
                <w:b/>
              </w:rPr>
            </w:pPr>
            <w:r w:rsidRPr="0092256B">
              <w:rPr>
                <w:rFonts w:ascii="Arial" w:hAnsi="Arial" w:cs="Arial"/>
                <w:b/>
              </w:rPr>
              <w:t>2,767</w:t>
            </w:r>
          </w:p>
        </w:tc>
        <w:tc>
          <w:tcPr>
            <w:tcW w:w="972" w:type="pct"/>
            <w:vAlign w:val="center"/>
          </w:tcPr>
          <w:p w:rsidR="00D37DAC" w:rsidRPr="0092256B" w:rsidRDefault="00D37DAC" w:rsidP="00726E58">
            <w:pPr>
              <w:spacing w:line="360" w:lineRule="auto"/>
              <w:jc w:val="center"/>
              <w:rPr>
                <w:rFonts w:ascii="Arial" w:hAnsi="Arial" w:cs="Arial"/>
                <w:b/>
              </w:rPr>
            </w:pPr>
            <w:r w:rsidRPr="0092256B">
              <w:rPr>
                <w:rFonts w:ascii="Arial" w:hAnsi="Arial" w:cs="Arial"/>
                <w:b/>
              </w:rPr>
              <w:t>12</w:t>
            </w:r>
          </w:p>
        </w:tc>
        <w:tc>
          <w:tcPr>
            <w:tcW w:w="485" w:type="pct"/>
            <w:vAlign w:val="center"/>
          </w:tcPr>
          <w:p w:rsidR="00D37DAC" w:rsidRPr="0092256B" w:rsidRDefault="000D4621" w:rsidP="00726E58">
            <w:pPr>
              <w:spacing w:line="360" w:lineRule="auto"/>
              <w:jc w:val="center"/>
              <w:rPr>
                <w:rFonts w:ascii="Arial" w:hAnsi="Arial" w:cs="Arial"/>
                <w:b/>
              </w:rPr>
            </w:pPr>
            <w:r w:rsidRPr="0092256B">
              <w:rPr>
                <w:rFonts w:ascii="Arial" w:hAnsi="Arial" w:cs="Arial"/>
                <w:b/>
              </w:rPr>
              <w:t>26,107</w:t>
            </w:r>
          </w:p>
        </w:tc>
        <w:tc>
          <w:tcPr>
            <w:tcW w:w="972" w:type="pct"/>
            <w:vAlign w:val="center"/>
          </w:tcPr>
          <w:p w:rsidR="00D37DAC" w:rsidRPr="0092256B" w:rsidRDefault="000D4621" w:rsidP="00726E58">
            <w:pPr>
              <w:spacing w:line="360" w:lineRule="auto"/>
              <w:jc w:val="center"/>
              <w:rPr>
                <w:rFonts w:ascii="Arial" w:hAnsi="Arial" w:cs="Arial"/>
                <w:b/>
              </w:rPr>
            </w:pPr>
            <w:r w:rsidRPr="0092256B">
              <w:rPr>
                <w:rFonts w:ascii="Arial" w:hAnsi="Arial" w:cs="Arial"/>
                <w:b/>
              </w:rPr>
              <w:t>298</w:t>
            </w:r>
          </w:p>
        </w:tc>
      </w:tr>
      <w:tr w:rsidR="00D37DAC" w:rsidRPr="0092256B" w:rsidTr="00D37DAC">
        <w:trPr>
          <w:cantSplit/>
          <w:trHeight w:val="340"/>
        </w:trPr>
        <w:tc>
          <w:tcPr>
            <w:tcW w:w="2085" w:type="pct"/>
            <w:vAlign w:val="center"/>
          </w:tcPr>
          <w:p w:rsidR="00D37DAC" w:rsidRPr="0092256B" w:rsidRDefault="00D37DAC" w:rsidP="00726E58">
            <w:pPr>
              <w:spacing w:line="360" w:lineRule="auto"/>
              <w:rPr>
                <w:rFonts w:ascii="Arial" w:hAnsi="Arial" w:cs="Arial"/>
                <w:b/>
              </w:rPr>
            </w:pPr>
            <w:r w:rsidRPr="0092256B">
              <w:rPr>
                <w:rFonts w:ascii="Arial" w:hAnsi="Arial" w:cs="Arial"/>
                <w:b/>
              </w:rPr>
              <w:t>Opisy przypadków</w:t>
            </w:r>
          </w:p>
        </w:tc>
        <w:tc>
          <w:tcPr>
            <w:tcW w:w="486" w:type="pct"/>
            <w:vAlign w:val="center"/>
          </w:tcPr>
          <w:p w:rsidR="00D37DAC" w:rsidRPr="0092256B" w:rsidRDefault="00D37DAC" w:rsidP="00726E58">
            <w:pPr>
              <w:spacing w:line="360" w:lineRule="auto"/>
              <w:jc w:val="center"/>
              <w:rPr>
                <w:rFonts w:ascii="Arial" w:hAnsi="Arial" w:cs="Arial"/>
                <w:b/>
              </w:rPr>
            </w:pPr>
            <w:r w:rsidRPr="0092256B">
              <w:rPr>
                <w:rFonts w:ascii="Arial" w:hAnsi="Arial" w:cs="Arial"/>
                <w:b/>
              </w:rPr>
              <w:t>1,621</w:t>
            </w:r>
          </w:p>
        </w:tc>
        <w:tc>
          <w:tcPr>
            <w:tcW w:w="972" w:type="pct"/>
            <w:vAlign w:val="center"/>
          </w:tcPr>
          <w:p w:rsidR="00D37DAC" w:rsidRPr="0092256B" w:rsidRDefault="00D37DAC" w:rsidP="00726E58">
            <w:pPr>
              <w:spacing w:line="360" w:lineRule="auto"/>
              <w:jc w:val="center"/>
              <w:rPr>
                <w:rFonts w:ascii="Arial" w:hAnsi="Arial" w:cs="Arial"/>
                <w:b/>
              </w:rPr>
            </w:pPr>
            <w:r w:rsidRPr="0092256B">
              <w:rPr>
                <w:rFonts w:ascii="Arial" w:hAnsi="Arial" w:cs="Arial"/>
                <w:b/>
              </w:rPr>
              <w:t>10</w:t>
            </w:r>
          </w:p>
        </w:tc>
        <w:tc>
          <w:tcPr>
            <w:tcW w:w="485" w:type="pct"/>
            <w:vAlign w:val="center"/>
          </w:tcPr>
          <w:p w:rsidR="00D37DAC" w:rsidRPr="0092256B" w:rsidRDefault="000D4621" w:rsidP="00726E58">
            <w:pPr>
              <w:spacing w:line="360" w:lineRule="auto"/>
              <w:jc w:val="center"/>
              <w:rPr>
                <w:rFonts w:ascii="Arial" w:hAnsi="Arial" w:cs="Arial"/>
                <w:b/>
              </w:rPr>
            </w:pPr>
            <w:r w:rsidRPr="0092256B">
              <w:rPr>
                <w:rFonts w:ascii="Arial" w:hAnsi="Arial" w:cs="Arial"/>
                <w:b/>
              </w:rPr>
              <w:t>3,844</w:t>
            </w:r>
          </w:p>
        </w:tc>
        <w:tc>
          <w:tcPr>
            <w:tcW w:w="972" w:type="pct"/>
            <w:vAlign w:val="center"/>
          </w:tcPr>
          <w:p w:rsidR="00D37DAC" w:rsidRPr="0092256B" w:rsidRDefault="000D4621" w:rsidP="00726E58">
            <w:pPr>
              <w:spacing w:line="360" w:lineRule="auto"/>
              <w:jc w:val="center"/>
              <w:rPr>
                <w:rFonts w:ascii="Arial" w:hAnsi="Arial" w:cs="Arial"/>
                <w:b/>
              </w:rPr>
            </w:pPr>
            <w:r w:rsidRPr="0092256B">
              <w:rPr>
                <w:rFonts w:ascii="Arial" w:hAnsi="Arial" w:cs="Arial"/>
                <w:b/>
              </w:rPr>
              <w:t>104</w:t>
            </w:r>
          </w:p>
        </w:tc>
      </w:tr>
      <w:tr w:rsidR="00D37DAC" w:rsidRPr="0092256B" w:rsidTr="00D37DAC">
        <w:trPr>
          <w:cantSplit/>
          <w:trHeight w:val="340"/>
        </w:trPr>
        <w:tc>
          <w:tcPr>
            <w:tcW w:w="2085" w:type="pct"/>
            <w:vAlign w:val="center"/>
          </w:tcPr>
          <w:p w:rsidR="00D37DAC" w:rsidRPr="0092256B" w:rsidRDefault="00D37DAC" w:rsidP="00726E58">
            <w:pPr>
              <w:pStyle w:val="Nagwek2"/>
              <w:spacing w:line="360" w:lineRule="auto"/>
              <w:rPr>
                <w:rFonts w:ascii="Arial" w:hAnsi="Arial" w:cs="Arial"/>
                <w:iCs/>
                <w:color w:val="auto"/>
                <w:sz w:val="22"/>
                <w:szCs w:val="22"/>
              </w:rPr>
            </w:pPr>
            <w:r w:rsidRPr="0092256B">
              <w:rPr>
                <w:rFonts w:ascii="Arial" w:hAnsi="Arial" w:cs="Arial"/>
                <w:iCs/>
                <w:color w:val="auto"/>
                <w:sz w:val="22"/>
                <w:szCs w:val="22"/>
              </w:rPr>
              <w:t>Prace poglądowe</w:t>
            </w:r>
          </w:p>
        </w:tc>
        <w:tc>
          <w:tcPr>
            <w:tcW w:w="486" w:type="pct"/>
            <w:vAlign w:val="center"/>
          </w:tcPr>
          <w:p w:rsidR="00D37DAC" w:rsidRPr="0092256B" w:rsidRDefault="00D37DAC" w:rsidP="00726E58">
            <w:pPr>
              <w:spacing w:line="360" w:lineRule="auto"/>
              <w:jc w:val="center"/>
              <w:rPr>
                <w:rFonts w:ascii="Arial" w:hAnsi="Arial" w:cs="Arial"/>
                <w:b/>
              </w:rPr>
            </w:pPr>
            <w:r w:rsidRPr="0092256B">
              <w:rPr>
                <w:rFonts w:ascii="Arial" w:hAnsi="Arial" w:cs="Arial"/>
                <w:b/>
              </w:rPr>
              <w:t>-</w:t>
            </w:r>
          </w:p>
        </w:tc>
        <w:tc>
          <w:tcPr>
            <w:tcW w:w="972" w:type="pct"/>
            <w:vAlign w:val="center"/>
          </w:tcPr>
          <w:p w:rsidR="00D37DAC" w:rsidRPr="0092256B" w:rsidRDefault="00D37DAC" w:rsidP="00726E58">
            <w:pPr>
              <w:spacing w:line="360" w:lineRule="auto"/>
              <w:jc w:val="center"/>
              <w:rPr>
                <w:rFonts w:ascii="Arial" w:hAnsi="Arial" w:cs="Arial"/>
                <w:b/>
              </w:rPr>
            </w:pPr>
            <w:r w:rsidRPr="0092256B">
              <w:rPr>
                <w:rFonts w:ascii="Arial" w:hAnsi="Arial" w:cs="Arial"/>
                <w:b/>
              </w:rPr>
              <w:t>5</w:t>
            </w:r>
          </w:p>
        </w:tc>
        <w:tc>
          <w:tcPr>
            <w:tcW w:w="485" w:type="pct"/>
            <w:vAlign w:val="center"/>
          </w:tcPr>
          <w:p w:rsidR="00D37DAC" w:rsidRPr="0092256B" w:rsidRDefault="000D4621" w:rsidP="00726E58">
            <w:pPr>
              <w:spacing w:line="360" w:lineRule="auto"/>
              <w:jc w:val="center"/>
              <w:rPr>
                <w:rFonts w:ascii="Arial" w:hAnsi="Arial" w:cs="Arial"/>
                <w:b/>
              </w:rPr>
            </w:pPr>
            <w:r w:rsidRPr="0092256B">
              <w:rPr>
                <w:rFonts w:ascii="Arial" w:hAnsi="Arial" w:cs="Arial"/>
                <w:b/>
              </w:rPr>
              <w:t>2,853</w:t>
            </w:r>
          </w:p>
        </w:tc>
        <w:tc>
          <w:tcPr>
            <w:tcW w:w="972" w:type="pct"/>
            <w:vAlign w:val="center"/>
          </w:tcPr>
          <w:p w:rsidR="00D37DAC" w:rsidRPr="0092256B" w:rsidRDefault="000D4621" w:rsidP="00726E58">
            <w:pPr>
              <w:spacing w:line="360" w:lineRule="auto"/>
              <w:jc w:val="center"/>
              <w:rPr>
                <w:rFonts w:ascii="Arial" w:hAnsi="Arial" w:cs="Arial"/>
                <w:b/>
              </w:rPr>
            </w:pPr>
            <w:r w:rsidRPr="0092256B">
              <w:rPr>
                <w:rFonts w:ascii="Arial" w:hAnsi="Arial" w:cs="Arial"/>
                <w:b/>
              </w:rPr>
              <w:t>110</w:t>
            </w:r>
          </w:p>
        </w:tc>
      </w:tr>
      <w:tr w:rsidR="00D37DAC" w:rsidRPr="0092256B" w:rsidTr="00D37DAC">
        <w:trPr>
          <w:cantSplit/>
          <w:trHeight w:val="340"/>
        </w:trPr>
        <w:tc>
          <w:tcPr>
            <w:tcW w:w="2085" w:type="pct"/>
            <w:vAlign w:val="center"/>
          </w:tcPr>
          <w:p w:rsidR="00D37DAC" w:rsidRPr="0092256B" w:rsidRDefault="00D37DAC" w:rsidP="00726E58">
            <w:pPr>
              <w:pStyle w:val="Nagwek2"/>
              <w:spacing w:line="360" w:lineRule="auto"/>
              <w:rPr>
                <w:rFonts w:ascii="Arial" w:hAnsi="Arial" w:cs="Arial"/>
                <w:iCs/>
                <w:color w:val="auto"/>
                <w:sz w:val="22"/>
                <w:szCs w:val="22"/>
              </w:rPr>
            </w:pPr>
            <w:r w:rsidRPr="0092256B">
              <w:rPr>
                <w:rFonts w:ascii="Arial" w:hAnsi="Arial" w:cs="Arial"/>
                <w:iCs/>
                <w:color w:val="auto"/>
                <w:sz w:val="22"/>
                <w:szCs w:val="22"/>
              </w:rPr>
              <w:t>RAZEM</w:t>
            </w:r>
          </w:p>
        </w:tc>
        <w:tc>
          <w:tcPr>
            <w:tcW w:w="486" w:type="pct"/>
            <w:vAlign w:val="center"/>
          </w:tcPr>
          <w:p w:rsidR="00D37DAC" w:rsidRPr="0092256B" w:rsidRDefault="00D37DAC" w:rsidP="00726E58">
            <w:pPr>
              <w:spacing w:line="360" w:lineRule="auto"/>
              <w:jc w:val="center"/>
              <w:rPr>
                <w:rFonts w:ascii="Arial" w:hAnsi="Arial" w:cs="Arial"/>
                <w:b/>
              </w:rPr>
            </w:pPr>
            <w:r w:rsidRPr="0092256B">
              <w:rPr>
                <w:rFonts w:ascii="Arial" w:hAnsi="Arial" w:cs="Arial"/>
                <w:b/>
              </w:rPr>
              <w:t>4,388</w:t>
            </w:r>
          </w:p>
        </w:tc>
        <w:tc>
          <w:tcPr>
            <w:tcW w:w="972" w:type="pct"/>
            <w:vAlign w:val="center"/>
          </w:tcPr>
          <w:p w:rsidR="00D37DAC" w:rsidRPr="0092256B" w:rsidRDefault="000D4621" w:rsidP="00726E58">
            <w:pPr>
              <w:spacing w:line="360" w:lineRule="auto"/>
              <w:jc w:val="center"/>
              <w:rPr>
                <w:rFonts w:ascii="Arial" w:hAnsi="Arial" w:cs="Arial"/>
                <w:b/>
              </w:rPr>
            </w:pPr>
            <w:r w:rsidRPr="0092256B">
              <w:rPr>
                <w:rFonts w:ascii="Arial" w:hAnsi="Arial" w:cs="Arial"/>
                <w:b/>
              </w:rPr>
              <w:t>27</w:t>
            </w:r>
          </w:p>
        </w:tc>
        <w:tc>
          <w:tcPr>
            <w:tcW w:w="485" w:type="pct"/>
            <w:vAlign w:val="center"/>
          </w:tcPr>
          <w:p w:rsidR="00D37DAC" w:rsidRPr="0092256B" w:rsidRDefault="000D4621" w:rsidP="00726E58">
            <w:pPr>
              <w:spacing w:line="360" w:lineRule="auto"/>
              <w:jc w:val="center"/>
              <w:rPr>
                <w:rFonts w:ascii="Arial" w:hAnsi="Arial" w:cs="Arial"/>
                <w:b/>
              </w:rPr>
            </w:pPr>
            <w:r w:rsidRPr="0092256B">
              <w:rPr>
                <w:rFonts w:ascii="Arial" w:hAnsi="Arial" w:cs="Arial"/>
                <w:b/>
              </w:rPr>
              <w:t>32,804</w:t>
            </w:r>
          </w:p>
        </w:tc>
        <w:tc>
          <w:tcPr>
            <w:tcW w:w="972" w:type="pct"/>
            <w:vAlign w:val="center"/>
          </w:tcPr>
          <w:p w:rsidR="00D37DAC" w:rsidRPr="0092256B" w:rsidRDefault="000D4621" w:rsidP="00726E58">
            <w:pPr>
              <w:spacing w:line="360" w:lineRule="auto"/>
              <w:jc w:val="center"/>
              <w:rPr>
                <w:rFonts w:ascii="Arial" w:hAnsi="Arial" w:cs="Arial"/>
                <w:b/>
              </w:rPr>
            </w:pPr>
            <w:r w:rsidRPr="0092256B">
              <w:rPr>
                <w:rFonts w:ascii="Arial" w:hAnsi="Arial" w:cs="Arial"/>
                <w:b/>
              </w:rPr>
              <w:t>512</w:t>
            </w:r>
          </w:p>
        </w:tc>
      </w:tr>
      <w:tr w:rsidR="00D37DAC" w:rsidRPr="0092256B" w:rsidTr="00D37DAC">
        <w:trPr>
          <w:cantSplit/>
          <w:trHeight w:val="340"/>
        </w:trPr>
        <w:tc>
          <w:tcPr>
            <w:tcW w:w="2085" w:type="pct"/>
            <w:vAlign w:val="center"/>
          </w:tcPr>
          <w:p w:rsidR="00D37DAC" w:rsidRPr="0092256B" w:rsidRDefault="0092256B" w:rsidP="003E369D">
            <w:pPr>
              <w:pStyle w:val="Nagwek3"/>
              <w:spacing w:line="360" w:lineRule="auto"/>
              <w:rPr>
                <w:rFonts w:cs="Arial"/>
                <w:smallCaps/>
                <w:sz w:val="22"/>
                <w:szCs w:val="22"/>
                <w:lang w:eastAsia="pl-PL"/>
              </w:rPr>
            </w:pPr>
            <w:proofErr w:type="spellStart"/>
            <w:r>
              <w:rPr>
                <w:rFonts w:cs="Arial"/>
                <w:smallCaps/>
                <w:sz w:val="22"/>
                <w:szCs w:val="22"/>
                <w:lang w:eastAsia="pl-PL"/>
              </w:rPr>
              <w:t>R</w:t>
            </w:r>
            <w:r w:rsidR="003E369D">
              <w:rPr>
                <w:rFonts w:cs="Arial"/>
                <w:smallCaps/>
                <w:sz w:val="22"/>
                <w:szCs w:val="22"/>
                <w:lang w:eastAsia="pl-PL"/>
              </w:rPr>
              <w:t>esearch</w:t>
            </w:r>
            <w:proofErr w:type="spellEnd"/>
            <w:r w:rsidR="003E369D">
              <w:rPr>
                <w:rFonts w:cs="Arial"/>
                <w:smallCaps/>
                <w:sz w:val="22"/>
                <w:szCs w:val="22"/>
                <w:lang w:eastAsia="pl-PL"/>
              </w:rPr>
              <w:t xml:space="preserve"> </w:t>
            </w:r>
            <w:proofErr w:type="spellStart"/>
            <w:r w:rsidR="003E369D">
              <w:rPr>
                <w:rFonts w:cs="Arial"/>
                <w:smallCaps/>
                <w:sz w:val="22"/>
                <w:szCs w:val="22"/>
                <w:lang w:eastAsia="pl-PL"/>
              </w:rPr>
              <w:t>Letter</w:t>
            </w:r>
            <w:proofErr w:type="spellEnd"/>
          </w:p>
        </w:tc>
        <w:tc>
          <w:tcPr>
            <w:tcW w:w="486" w:type="pct"/>
            <w:vAlign w:val="center"/>
          </w:tcPr>
          <w:p w:rsidR="00D37DAC" w:rsidRPr="0092256B" w:rsidRDefault="00D37DAC" w:rsidP="00726E58">
            <w:pPr>
              <w:spacing w:line="360" w:lineRule="auto"/>
              <w:jc w:val="center"/>
              <w:rPr>
                <w:rFonts w:ascii="Arial" w:hAnsi="Arial" w:cs="Arial"/>
                <w:b/>
              </w:rPr>
            </w:pPr>
          </w:p>
        </w:tc>
        <w:tc>
          <w:tcPr>
            <w:tcW w:w="972" w:type="pct"/>
            <w:vAlign w:val="center"/>
          </w:tcPr>
          <w:p w:rsidR="00D37DAC" w:rsidRPr="0092256B" w:rsidRDefault="00D37DAC" w:rsidP="00726E58">
            <w:pPr>
              <w:spacing w:line="360" w:lineRule="auto"/>
              <w:jc w:val="center"/>
              <w:rPr>
                <w:rFonts w:ascii="Arial" w:hAnsi="Arial" w:cs="Arial"/>
                <w:b/>
              </w:rPr>
            </w:pPr>
          </w:p>
        </w:tc>
        <w:tc>
          <w:tcPr>
            <w:tcW w:w="485" w:type="pct"/>
            <w:vAlign w:val="center"/>
          </w:tcPr>
          <w:p w:rsidR="00D37DAC" w:rsidRPr="0092256B" w:rsidRDefault="00D37DAC" w:rsidP="00726E58">
            <w:pPr>
              <w:spacing w:line="360" w:lineRule="auto"/>
              <w:jc w:val="center"/>
              <w:rPr>
                <w:rFonts w:ascii="Arial" w:hAnsi="Arial" w:cs="Arial"/>
                <w:b/>
              </w:rPr>
            </w:pPr>
            <w:r w:rsidRPr="0092256B">
              <w:rPr>
                <w:rFonts w:ascii="Arial" w:hAnsi="Arial" w:cs="Arial"/>
                <w:b/>
              </w:rPr>
              <w:t>2,309</w:t>
            </w:r>
          </w:p>
        </w:tc>
        <w:tc>
          <w:tcPr>
            <w:tcW w:w="972" w:type="pct"/>
            <w:vAlign w:val="center"/>
          </w:tcPr>
          <w:p w:rsidR="00D37DAC" w:rsidRPr="0092256B" w:rsidRDefault="00D37DAC" w:rsidP="00726E58">
            <w:pPr>
              <w:spacing w:line="360" w:lineRule="auto"/>
              <w:jc w:val="center"/>
              <w:rPr>
                <w:rFonts w:ascii="Arial" w:hAnsi="Arial" w:cs="Arial"/>
                <w:b/>
              </w:rPr>
            </w:pPr>
          </w:p>
        </w:tc>
      </w:tr>
      <w:tr w:rsidR="007B25D9" w:rsidRPr="0092256B" w:rsidTr="00D37DAC">
        <w:trPr>
          <w:cantSplit/>
          <w:trHeight w:val="340"/>
        </w:trPr>
        <w:tc>
          <w:tcPr>
            <w:tcW w:w="2085" w:type="pct"/>
            <w:vAlign w:val="center"/>
          </w:tcPr>
          <w:p w:rsidR="007B25D9" w:rsidRPr="0092256B" w:rsidRDefault="007B25D9" w:rsidP="00726E58">
            <w:pPr>
              <w:pStyle w:val="Nagwek3"/>
              <w:spacing w:line="360" w:lineRule="auto"/>
              <w:rPr>
                <w:rFonts w:cs="Arial"/>
                <w:smallCaps/>
                <w:sz w:val="22"/>
                <w:szCs w:val="22"/>
                <w:lang w:eastAsia="pl-PL"/>
              </w:rPr>
            </w:pPr>
            <w:r w:rsidRPr="0092256B">
              <w:rPr>
                <w:rFonts w:cs="Arial"/>
                <w:smallCaps/>
                <w:sz w:val="22"/>
                <w:szCs w:val="22"/>
                <w:lang w:eastAsia="pl-PL"/>
              </w:rPr>
              <w:t>Razem</w:t>
            </w:r>
          </w:p>
        </w:tc>
        <w:tc>
          <w:tcPr>
            <w:tcW w:w="486" w:type="pct"/>
            <w:vAlign w:val="center"/>
          </w:tcPr>
          <w:p w:rsidR="007B25D9" w:rsidRPr="0092256B" w:rsidRDefault="007B25D9" w:rsidP="00726E58">
            <w:pPr>
              <w:spacing w:line="360" w:lineRule="auto"/>
              <w:jc w:val="center"/>
              <w:rPr>
                <w:rFonts w:ascii="Arial" w:hAnsi="Arial" w:cs="Arial"/>
                <w:b/>
              </w:rPr>
            </w:pPr>
            <w:r w:rsidRPr="0092256B">
              <w:rPr>
                <w:rFonts w:ascii="Arial" w:hAnsi="Arial" w:cs="Arial"/>
                <w:b/>
              </w:rPr>
              <w:t>4,388</w:t>
            </w:r>
          </w:p>
        </w:tc>
        <w:tc>
          <w:tcPr>
            <w:tcW w:w="972" w:type="pct"/>
            <w:vAlign w:val="center"/>
          </w:tcPr>
          <w:p w:rsidR="007B25D9" w:rsidRPr="0092256B" w:rsidRDefault="007B25D9" w:rsidP="00726E58">
            <w:pPr>
              <w:spacing w:line="360" w:lineRule="auto"/>
              <w:jc w:val="center"/>
              <w:rPr>
                <w:rFonts w:ascii="Arial" w:hAnsi="Arial" w:cs="Arial"/>
                <w:b/>
              </w:rPr>
            </w:pPr>
            <w:r w:rsidRPr="0092256B">
              <w:rPr>
                <w:rFonts w:ascii="Arial" w:hAnsi="Arial" w:cs="Arial"/>
                <w:b/>
              </w:rPr>
              <w:t>27</w:t>
            </w:r>
          </w:p>
        </w:tc>
        <w:tc>
          <w:tcPr>
            <w:tcW w:w="485" w:type="pct"/>
            <w:vAlign w:val="center"/>
          </w:tcPr>
          <w:p w:rsidR="007B25D9" w:rsidRPr="0092256B" w:rsidRDefault="007B25D9" w:rsidP="00726E58">
            <w:pPr>
              <w:spacing w:line="360" w:lineRule="auto"/>
              <w:jc w:val="center"/>
              <w:rPr>
                <w:rFonts w:ascii="Arial" w:hAnsi="Arial" w:cs="Arial"/>
                <w:b/>
              </w:rPr>
            </w:pPr>
            <w:r w:rsidRPr="0092256B">
              <w:rPr>
                <w:rFonts w:ascii="Arial" w:hAnsi="Arial" w:cs="Arial"/>
                <w:b/>
              </w:rPr>
              <w:t>35,113</w:t>
            </w:r>
          </w:p>
        </w:tc>
        <w:tc>
          <w:tcPr>
            <w:tcW w:w="972" w:type="pct"/>
            <w:vAlign w:val="center"/>
          </w:tcPr>
          <w:p w:rsidR="007B25D9" w:rsidRPr="0092256B" w:rsidRDefault="007B25D9" w:rsidP="00726E58">
            <w:pPr>
              <w:spacing w:line="360" w:lineRule="auto"/>
              <w:jc w:val="center"/>
              <w:rPr>
                <w:rFonts w:ascii="Arial" w:hAnsi="Arial" w:cs="Arial"/>
                <w:b/>
              </w:rPr>
            </w:pPr>
            <w:r w:rsidRPr="0092256B">
              <w:rPr>
                <w:rFonts w:ascii="Arial" w:hAnsi="Arial" w:cs="Arial"/>
                <w:b/>
              </w:rPr>
              <w:t>512</w:t>
            </w:r>
          </w:p>
        </w:tc>
      </w:tr>
    </w:tbl>
    <w:p w:rsidR="003E7671" w:rsidRPr="003E7671" w:rsidRDefault="003E7671" w:rsidP="008363FB">
      <w:pPr>
        <w:rPr>
          <w:rFonts w:ascii="Arial" w:eastAsia="Calibri" w:hAnsi="Arial" w:cs="Arial"/>
          <w:b/>
        </w:rPr>
      </w:pPr>
    </w:p>
    <w:p w:rsidR="000D4621" w:rsidRPr="000D4621" w:rsidRDefault="000D4621" w:rsidP="000D4621">
      <w:pPr>
        <w:pStyle w:val="p1"/>
        <w:spacing w:line="360" w:lineRule="auto"/>
        <w:ind w:left="360"/>
        <w:jc w:val="both"/>
        <w:rPr>
          <w:rFonts w:ascii="Arial" w:hAnsi="Arial" w:cs="Arial"/>
          <w:sz w:val="22"/>
          <w:szCs w:val="22"/>
        </w:rPr>
      </w:pPr>
      <w:r w:rsidRPr="000D4621">
        <w:rPr>
          <w:rFonts w:ascii="Arial" w:hAnsi="Arial" w:cs="Arial"/>
          <w:b/>
          <w:sz w:val="22"/>
          <w:szCs w:val="22"/>
        </w:rPr>
        <w:t xml:space="preserve">Sumaryczny </w:t>
      </w:r>
      <w:proofErr w:type="spellStart"/>
      <w:r w:rsidRPr="000D4621">
        <w:rPr>
          <w:rFonts w:ascii="Arial" w:hAnsi="Arial" w:cs="Arial"/>
          <w:b/>
          <w:sz w:val="22"/>
          <w:szCs w:val="22"/>
        </w:rPr>
        <w:t>Impact</w:t>
      </w:r>
      <w:proofErr w:type="spellEnd"/>
      <w:r w:rsidRPr="000D4621">
        <w:rPr>
          <w:rFonts w:ascii="Arial" w:hAnsi="Arial" w:cs="Arial"/>
          <w:b/>
          <w:sz w:val="22"/>
          <w:szCs w:val="22"/>
        </w:rPr>
        <w:t xml:space="preserve"> </w:t>
      </w:r>
      <w:proofErr w:type="spellStart"/>
      <w:r w:rsidRPr="000D4621">
        <w:rPr>
          <w:rFonts w:ascii="Arial" w:hAnsi="Arial" w:cs="Arial"/>
          <w:b/>
          <w:sz w:val="22"/>
          <w:szCs w:val="22"/>
        </w:rPr>
        <w:t>Factor</w:t>
      </w:r>
      <w:proofErr w:type="spellEnd"/>
      <w:r w:rsidRPr="000D4621">
        <w:rPr>
          <w:rFonts w:ascii="Arial" w:hAnsi="Arial" w:cs="Arial"/>
          <w:sz w:val="22"/>
          <w:szCs w:val="22"/>
        </w:rPr>
        <w:t xml:space="preserve"> wszystkich publikacji: </w:t>
      </w:r>
      <w:r w:rsidR="007B25D9">
        <w:rPr>
          <w:rFonts w:ascii="Arial" w:hAnsi="Arial" w:cs="Arial"/>
          <w:b/>
          <w:sz w:val="22"/>
          <w:szCs w:val="22"/>
        </w:rPr>
        <w:t>3</w:t>
      </w:r>
      <w:r w:rsidR="0092256B">
        <w:rPr>
          <w:rFonts w:ascii="Arial" w:hAnsi="Arial" w:cs="Arial"/>
          <w:b/>
          <w:sz w:val="22"/>
          <w:szCs w:val="22"/>
        </w:rPr>
        <w:t>9</w:t>
      </w:r>
      <w:r w:rsidRPr="000D4621">
        <w:rPr>
          <w:rFonts w:ascii="Arial" w:hAnsi="Arial" w:cs="Arial"/>
          <w:b/>
          <w:sz w:val="22"/>
          <w:szCs w:val="22"/>
        </w:rPr>
        <w:t>,</w:t>
      </w:r>
      <w:r w:rsidR="0092256B">
        <w:rPr>
          <w:rFonts w:ascii="Arial" w:hAnsi="Arial" w:cs="Arial"/>
          <w:b/>
          <w:sz w:val="22"/>
          <w:szCs w:val="22"/>
        </w:rPr>
        <w:t>501</w:t>
      </w:r>
      <w:r w:rsidRPr="000D4621">
        <w:rPr>
          <w:rFonts w:ascii="Arial" w:hAnsi="Arial" w:cs="Arial"/>
          <w:sz w:val="22"/>
          <w:szCs w:val="22"/>
        </w:rPr>
        <w:t xml:space="preserve"> (z czego </w:t>
      </w:r>
      <w:r w:rsidR="007B25D9">
        <w:rPr>
          <w:rFonts w:ascii="Arial" w:hAnsi="Arial" w:cs="Arial"/>
          <w:sz w:val="22"/>
          <w:szCs w:val="22"/>
        </w:rPr>
        <w:t>2,309</w:t>
      </w:r>
      <w:r w:rsidRPr="000D4621">
        <w:rPr>
          <w:rFonts w:ascii="Arial" w:hAnsi="Arial" w:cs="Arial"/>
          <w:sz w:val="22"/>
          <w:szCs w:val="22"/>
        </w:rPr>
        <w:t xml:space="preserve"> </w:t>
      </w:r>
      <w:r w:rsidR="007B25D9">
        <w:rPr>
          <w:rFonts w:ascii="Arial" w:hAnsi="Arial" w:cs="Arial"/>
          <w:sz w:val="22"/>
          <w:szCs w:val="22"/>
        </w:rPr>
        <w:t xml:space="preserve"> jako</w:t>
      </w:r>
      <w:r w:rsidRPr="000D4621">
        <w:rPr>
          <w:rFonts w:ascii="Arial" w:hAnsi="Arial" w:cs="Arial"/>
          <w:sz w:val="22"/>
          <w:szCs w:val="22"/>
        </w:rPr>
        <w:t xml:space="preserve"> prac</w:t>
      </w:r>
      <w:r w:rsidR="008E5873">
        <w:rPr>
          <w:rFonts w:ascii="Arial" w:hAnsi="Arial" w:cs="Arial"/>
          <w:sz w:val="22"/>
          <w:szCs w:val="22"/>
        </w:rPr>
        <w:t xml:space="preserve">a oryginalna - </w:t>
      </w:r>
      <w:proofErr w:type="spellStart"/>
      <w:r w:rsidR="008E5873">
        <w:rPr>
          <w:rFonts w:ascii="Arial" w:hAnsi="Arial" w:cs="Arial"/>
          <w:sz w:val="22"/>
          <w:szCs w:val="22"/>
        </w:rPr>
        <w:t>Resea</w:t>
      </w:r>
      <w:r w:rsidR="007B25D9">
        <w:rPr>
          <w:rFonts w:ascii="Arial" w:hAnsi="Arial" w:cs="Arial"/>
          <w:sz w:val="22"/>
          <w:szCs w:val="22"/>
        </w:rPr>
        <w:t>rch</w:t>
      </w:r>
      <w:proofErr w:type="spellEnd"/>
      <w:r w:rsidR="007B25D9">
        <w:rPr>
          <w:rFonts w:ascii="Arial" w:hAnsi="Arial" w:cs="Arial"/>
          <w:sz w:val="22"/>
          <w:szCs w:val="22"/>
        </w:rPr>
        <w:t xml:space="preserve"> </w:t>
      </w:r>
      <w:proofErr w:type="spellStart"/>
      <w:r w:rsidR="007B25D9">
        <w:rPr>
          <w:rFonts w:ascii="Arial" w:hAnsi="Arial" w:cs="Arial"/>
          <w:sz w:val="22"/>
          <w:szCs w:val="22"/>
        </w:rPr>
        <w:t>Letter</w:t>
      </w:r>
      <w:proofErr w:type="spellEnd"/>
      <w:r w:rsidRPr="000D4621">
        <w:rPr>
          <w:rFonts w:ascii="Arial" w:hAnsi="Arial" w:cs="Arial"/>
          <w:sz w:val="22"/>
          <w:szCs w:val="22"/>
        </w:rPr>
        <w:t>)</w:t>
      </w:r>
    </w:p>
    <w:p w:rsidR="000D4621" w:rsidRPr="000D4621" w:rsidRDefault="000D4621" w:rsidP="000D4621">
      <w:pPr>
        <w:pStyle w:val="p1"/>
        <w:spacing w:line="360" w:lineRule="auto"/>
        <w:ind w:left="360"/>
        <w:jc w:val="both"/>
        <w:rPr>
          <w:rFonts w:ascii="Arial" w:hAnsi="Arial" w:cs="Arial"/>
          <w:sz w:val="22"/>
          <w:szCs w:val="22"/>
        </w:rPr>
      </w:pPr>
      <w:r w:rsidRPr="000D4621">
        <w:rPr>
          <w:rFonts w:ascii="Arial" w:hAnsi="Arial" w:cs="Arial"/>
          <w:b/>
          <w:sz w:val="22"/>
          <w:szCs w:val="22"/>
        </w:rPr>
        <w:t xml:space="preserve">Sumaryczna punktacja </w:t>
      </w:r>
      <w:proofErr w:type="spellStart"/>
      <w:r w:rsidRPr="000D4621">
        <w:rPr>
          <w:rFonts w:ascii="Arial" w:hAnsi="Arial" w:cs="Arial"/>
          <w:b/>
          <w:sz w:val="22"/>
          <w:szCs w:val="22"/>
        </w:rPr>
        <w:t>MNiSW</w:t>
      </w:r>
      <w:proofErr w:type="spellEnd"/>
      <w:r w:rsidRPr="000D4621">
        <w:rPr>
          <w:rFonts w:ascii="Arial" w:hAnsi="Arial" w:cs="Arial"/>
          <w:sz w:val="22"/>
          <w:szCs w:val="22"/>
        </w:rPr>
        <w:t xml:space="preserve"> wszystkich publikacji: </w:t>
      </w:r>
      <w:r w:rsidRPr="000D4621">
        <w:rPr>
          <w:rFonts w:ascii="Arial" w:hAnsi="Arial" w:cs="Arial"/>
          <w:b/>
          <w:sz w:val="22"/>
          <w:szCs w:val="22"/>
        </w:rPr>
        <w:t>5</w:t>
      </w:r>
      <w:r w:rsidR="007B25D9">
        <w:rPr>
          <w:rFonts w:ascii="Arial" w:hAnsi="Arial" w:cs="Arial"/>
          <w:b/>
          <w:sz w:val="22"/>
          <w:szCs w:val="22"/>
        </w:rPr>
        <w:t>39</w:t>
      </w:r>
    </w:p>
    <w:p w:rsidR="000D4621" w:rsidRPr="000D4621" w:rsidRDefault="000D4621" w:rsidP="000D4621">
      <w:pPr>
        <w:pStyle w:val="p1"/>
        <w:spacing w:line="360" w:lineRule="auto"/>
        <w:ind w:left="360"/>
        <w:jc w:val="both"/>
        <w:rPr>
          <w:rFonts w:ascii="Arial" w:hAnsi="Arial" w:cs="Arial"/>
          <w:sz w:val="22"/>
          <w:szCs w:val="22"/>
        </w:rPr>
      </w:pPr>
      <w:r w:rsidRPr="000D4621">
        <w:rPr>
          <w:rFonts w:ascii="Arial" w:hAnsi="Arial" w:cs="Arial"/>
          <w:b/>
          <w:sz w:val="22"/>
          <w:szCs w:val="22"/>
        </w:rPr>
        <w:t>Liczba cytowań</w:t>
      </w:r>
      <w:r w:rsidRPr="000D4621">
        <w:rPr>
          <w:rFonts w:ascii="Arial" w:hAnsi="Arial" w:cs="Arial"/>
          <w:sz w:val="22"/>
          <w:szCs w:val="22"/>
        </w:rPr>
        <w:t xml:space="preserve"> (wg bazy Web of Science) z dnia 2</w:t>
      </w:r>
      <w:r w:rsidR="007B25D9">
        <w:rPr>
          <w:rFonts w:ascii="Arial" w:hAnsi="Arial" w:cs="Arial"/>
          <w:sz w:val="22"/>
          <w:szCs w:val="22"/>
        </w:rPr>
        <w:t>0</w:t>
      </w:r>
      <w:r w:rsidRPr="000D4621">
        <w:rPr>
          <w:rFonts w:ascii="Arial" w:hAnsi="Arial" w:cs="Arial"/>
          <w:sz w:val="22"/>
          <w:szCs w:val="22"/>
        </w:rPr>
        <w:t>.0</w:t>
      </w:r>
      <w:r w:rsidR="007B25D9">
        <w:rPr>
          <w:rFonts w:ascii="Arial" w:hAnsi="Arial" w:cs="Arial"/>
          <w:sz w:val="22"/>
          <w:szCs w:val="22"/>
        </w:rPr>
        <w:t>3</w:t>
      </w:r>
      <w:r w:rsidRPr="000D4621">
        <w:rPr>
          <w:rFonts w:ascii="Arial" w:hAnsi="Arial" w:cs="Arial"/>
          <w:sz w:val="22"/>
          <w:szCs w:val="22"/>
        </w:rPr>
        <w:t xml:space="preserve">.2018, bez </w:t>
      </w:r>
      <w:proofErr w:type="spellStart"/>
      <w:r w:rsidRPr="000D4621">
        <w:rPr>
          <w:rFonts w:ascii="Arial" w:hAnsi="Arial" w:cs="Arial"/>
          <w:sz w:val="22"/>
          <w:szCs w:val="22"/>
        </w:rPr>
        <w:t>autocytowań</w:t>
      </w:r>
      <w:proofErr w:type="spellEnd"/>
      <w:r w:rsidRPr="000D4621">
        <w:rPr>
          <w:rFonts w:ascii="Arial" w:hAnsi="Arial" w:cs="Arial"/>
          <w:sz w:val="22"/>
          <w:szCs w:val="22"/>
        </w:rPr>
        <w:t xml:space="preserve">: </w:t>
      </w:r>
      <w:r w:rsidR="007B25D9" w:rsidRPr="00EE30D0">
        <w:rPr>
          <w:rFonts w:ascii="Arial" w:hAnsi="Arial" w:cs="Arial"/>
          <w:b/>
          <w:sz w:val="22"/>
          <w:szCs w:val="22"/>
        </w:rPr>
        <w:t>75</w:t>
      </w:r>
    </w:p>
    <w:p w:rsidR="00396EDB" w:rsidRDefault="000D4621" w:rsidP="00396EDB">
      <w:pPr>
        <w:pStyle w:val="p1"/>
        <w:spacing w:line="360" w:lineRule="auto"/>
        <w:ind w:left="360"/>
        <w:jc w:val="both"/>
        <w:rPr>
          <w:rFonts w:ascii="Arial" w:hAnsi="Arial" w:cs="Arial"/>
          <w:b/>
          <w:sz w:val="22"/>
          <w:szCs w:val="22"/>
          <w:lang w:val="en-US"/>
        </w:rPr>
      </w:pPr>
      <w:proofErr w:type="spellStart"/>
      <w:r w:rsidRPr="000D4621">
        <w:rPr>
          <w:rFonts w:ascii="Arial" w:hAnsi="Arial" w:cs="Arial"/>
          <w:b/>
          <w:sz w:val="22"/>
          <w:szCs w:val="22"/>
          <w:lang w:val="en-US"/>
        </w:rPr>
        <w:t>Indeks</w:t>
      </w:r>
      <w:proofErr w:type="spellEnd"/>
      <w:r w:rsidRPr="000D4621">
        <w:rPr>
          <w:rFonts w:ascii="Arial" w:hAnsi="Arial" w:cs="Arial"/>
          <w:b/>
          <w:sz w:val="22"/>
          <w:szCs w:val="22"/>
          <w:lang w:val="en-US"/>
        </w:rPr>
        <w:t xml:space="preserve"> </w:t>
      </w:r>
      <w:proofErr w:type="spellStart"/>
      <w:r w:rsidRPr="000D4621">
        <w:rPr>
          <w:rFonts w:ascii="Arial" w:hAnsi="Arial" w:cs="Arial"/>
          <w:b/>
          <w:sz w:val="22"/>
          <w:szCs w:val="22"/>
          <w:lang w:val="en-US"/>
        </w:rPr>
        <w:t>Hirscha</w:t>
      </w:r>
      <w:proofErr w:type="spellEnd"/>
      <w:r w:rsidRPr="000D4621">
        <w:rPr>
          <w:rFonts w:ascii="Arial" w:hAnsi="Arial" w:cs="Arial"/>
          <w:sz w:val="22"/>
          <w:szCs w:val="22"/>
          <w:lang w:val="en-US"/>
        </w:rPr>
        <w:t xml:space="preserve"> (</w:t>
      </w:r>
      <w:proofErr w:type="spellStart"/>
      <w:r w:rsidRPr="000D4621">
        <w:rPr>
          <w:rFonts w:ascii="Arial" w:hAnsi="Arial" w:cs="Arial"/>
          <w:sz w:val="22"/>
          <w:szCs w:val="22"/>
          <w:lang w:val="en-US"/>
        </w:rPr>
        <w:t>wg</w:t>
      </w:r>
      <w:proofErr w:type="spellEnd"/>
      <w:r w:rsidRPr="000D4621">
        <w:rPr>
          <w:rFonts w:ascii="Arial" w:hAnsi="Arial" w:cs="Arial"/>
          <w:sz w:val="22"/>
          <w:szCs w:val="22"/>
          <w:lang w:val="en-US"/>
        </w:rPr>
        <w:t xml:space="preserve"> </w:t>
      </w:r>
      <w:proofErr w:type="spellStart"/>
      <w:r w:rsidRPr="000D4621">
        <w:rPr>
          <w:rFonts w:ascii="Arial" w:hAnsi="Arial" w:cs="Arial"/>
          <w:sz w:val="22"/>
          <w:szCs w:val="22"/>
          <w:lang w:val="en-US"/>
        </w:rPr>
        <w:t>bazy</w:t>
      </w:r>
      <w:proofErr w:type="spellEnd"/>
      <w:r w:rsidRPr="000D4621">
        <w:rPr>
          <w:rFonts w:ascii="Arial" w:hAnsi="Arial" w:cs="Arial"/>
          <w:sz w:val="22"/>
          <w:szCs w:val="22"/>
          <w:lang w:val="en-US"/>
        </w:rPr>
        <w:t xml:space="preserve"> Web of Science) z </w:t>
      </w:r>
      <w:proofErr w:type="spellStart"/>
      <w:r w:rsidRPr="000D4621">
        <w:rPr>
          <w:rFonts w:ascii="Arial" w:hAnsi="Arial" w:cs="Arial"/>
          <w:sz w:val="22"/>
          <w:szCs w:val="22"/>
          <w:lang w:val="en-US"/>
        </w:rPr>
        <w:t>dnia</w:t>
      </w:r>
      <w:proofErr w:type="spellEnd"/>
      <w:r w:rsidRPr="000D4621">
        <w:rPr>
          <w:rFonts w:ascii="Arial" w:hAnsi="Arial" w:cs="Arial"/>
          <w:sz w:val="22"/>
          <w:szCs w:val="22"/>
          <w:lang w:val="en-US"/>
        </w:rPr>
        <w:t xml:space="preserve"> 2</w:t>
      </w:r>
      <w:r w:rsidR="007B25D9">
        <w:rPr>
          <w:rFonts w:ascii="Arial" w:hAnsi="Arial" w:cs="Arial"/>
          <w:sz w:val="22"/>
          <w:szCs w:val="22"/>
          <w:lang w:val="en-US"/>
        </w:rPr>
        <w:t>0</w:t>
      </w:r>
      <w:r w:rsidRPr="000D4621">
        <w:rPr>
          <w:rFonts w:ascii="Arial" w:hAnsi="Arial" w:cs="Arial"/>
          <w:sz w:val="22"/>
          <w:szCs w:val="22"/>
          <w:lang w:val="en-US"/>
        </w:rPr>
        <w:t>.0</w:t>
      </w:r>
      <w:r w:rsidR="007B25D9">
        <w:rPr>
          <w:rFonts w:ascii="Arial" w:hAnsi="Arial" w:cs="Arial"/>
          <w:sz w:val="22"/>
          <w:szCs w:val="22"/>
          <w:lang w:val="en-US"/>
        </w:rPr>
        <w:t>3</w:t>
      </w:r>
      <w:r w:rsidRPr="000D4621">
        <w:rPr>
          <w:rFonts w:ascii="Arial" w:hAnsi="Arial" w:cs="Arial"/>
          <w:sz w:val="22"/>
          <w:szCs w:val="22"/>
          <w:lang w:val="en-US"/>
        </w:rPr>
        <w:t xml:space="preserve">.2018: </w:t>
      </w:r>
      <w:r w:rsidR="007B25D9">
        <w:rPr>
          <w:rFonts w:ascii="Arial" w:hAnsi="Arial" w:cs="Arial"/>
          <w:b/>
          <w:sz w:val="22"/>
          <w:szCs w:val="22"/>
          <w:lang w:val="en-US"/>
        </w:rPr>
        <w:t>6</w:t>
      </w:r>
    </w:p>
    <w:p w:rsidR="008363FB" w:rsidRPr="00396EDB" w:rsidRDefault="008363FB" w:rsidP="00396EDB">
      <w:pPr>
        <w:pStyle w:val="p1"/>
        <w:spacing w:line="360" w:lineRule="auto"/>
        <w:ind w:left="360"/>
        <w:jc w:val="both"/>
        <w:rPr>
          <w:rFonts w:ascii="Arial" w:hAnsi="Arial" w:cs="Arial"/>
          <w:b/>
          <w:sz w:val="22"/>
          <w:szCs w:val="22"/>
          <w:lang w:val="en-US"/>
        </w:rPr>
      </w:pPr>
      <w:r w:rsidRPr="000D4621">
        <w:rPr>
          <w:rFonts w:ascii="Arial" w:eastAsia="Calibri" w:hAnsi="Arial" w:cs="Arial"/>
          <w:lang w:val="en-US"/>
        </w:rPr>
        <w:t xml:space="preserve"> </w:t>
      </w:r>
    </w:p>
    <w:p w:rsidR="0076387C" w:rsidRPr="00B37853" w:rsidRDefault="00B37853" w:rsidP="00B37853">
      <w:pPr>
        <w:rPr>
          <w:rFonts w:ascii="Arial" w:hAnsi="Arial" w:cs="Arial"/>
          <w:b/>
        </w:rPr>
      </w:pPr>
      <w:r>
        <w:rPr>
          <w:rFonts w:ascii="Arial" w:hAnsi="Arial" w:cs="Arial"/>
          <w:b/>
        </w:rPr>
        <w:t>4)</w:t>
      </w:r>
      <w:r w:rsidR="0076387C" w:rsidRPr="00B37853">
        <w:rPr>
          <w:rFonts w:ascii="Arial" w:hAnsi="Arial" w:cs="Arial"/>
          <w:b/>
        </w:rPr>
        <w:t xml:space="preserve">Wskazanie osiągnięcia wynikającego z art. 16 ust. 2 ustawy z dnia 14 marca 2003 r. o stopniach naukowych i tytule naukowym (Dz. U. nr 65, poz. 595 ze zm.): </w:t>
      </w:r>
    </w:p>
    <w:p w:rsidR="0076387C" w:rsidRPr="00DC22E8" w:rsidRDefault="0076387C" w:rsidP="0076387C">
      <w:pPr>
        <w:pStyle w:val="Akapitzlist"/>
        <w:numPr>
          <w:ilvl w:val="0"/>
          <w:numId w:val="6"/>
        </w:numPr>
        <w:rPr>
          <w:rFonts w:ascii="Arial" w:eastAsia="Calibri" w:hAnsi="Arial" w:cs="Arial"/>
          <w:i/>
          <w:sz w:val="24"/>
        </w:rPr>
      </w:pPr>
      <w:r w:rsidRPr="00DC22E8">
        <w:rPr>
          <w:rFonts w:ascii="Arial" w:hAnsi="Arial" w:cs="Arial"/>
          <w:i/>
        </w:rPr>
        <w:t xml:space="preserve">tytuł osiągnięcia naukowego: </w:t>
      </w:r>
      <w:r w:rsidR="008363FB" w:rsidRPr="00DC22E8">
        <w:rPr>
          <w:rFonts w:ascii="Arial" w:eastAsia="Calibri" w:hAnsi="Arial" w:cs="Arial"/>
          <w:i/>
          <w:sz w:val="24"/>
        </w:rPr>
        <w:t xml:space="preserve">   </w:t>
      </w:r>
    </w:p>
    <w:p w:rsidR="0076387C" w:rsidRDefault="00EE30D0" w:rsidP="00B37853">
      <w:pPr>
        <w:rPr>
          <w:rFonts w:ascii="Arial" w:hAnsi="Arial" w:cs="Arial"/>
          <w:b/>
        </w:rPr>
      </w:pPr>
      <w:r>
        <w:rPr>
          <w:rFonts w:ascii="Arial" w:hAnsi="Arial" w:cs="Arial"/>
          <w:b/>
        </w:rPr>
        <w:t>Badania nad udoskonaleniem diagnostyki hormonalnej i biochemicznej choró</w:t>
      </w:r>
      <w:r w:rsidR="0076387C" w:rsidRPr="0076387C">
        <w:rPr>
          <w:rFonts w:ascii="Arial" w:hAnsi="Arial" w:cs="Arial"/>
          <w:b/>
        </w:rPr>
        <w:t>b nadnerczy i gonad</w:t>
      </w:r>
      <w:r w:rsidR="0076387C">
        <w:rPr>
          <w:rFonts w:ascii="Arial" w:hAnsi="Arial" w:cs="Arial"/>
          <w:b/>
        </w:rPr>
        <w:t>.</w:t>
      </w:r>
    </w:p>
    <w:p w:rsidR="0076387C" w:rsidRPr="00DC22E8" w:rsidRDefault="00B37853" w:rsidP="00B37853">
      <w:pPr>
        <w:pStyle w:val="Akapitzlist"/>
        <w:numPr>
          <w:ilvl w:val="0"/>
          <w:numId w:val="6"/>
        </w:numPr>
        <w:rPr>
          <w:rFonts w:ascii="Arial" w:hAnsi="Arial" w:cs="Arial"/>
          <w:i/>
        </w:rPr>
      </w:pPr>
      <w:r w:rsidRPr="00DC22E8">
        <w:rPr>
          <w:rFonts w:ascii="Arial" w:hAnsi="Arial" w:cs="Arial"/>
          <w:i/>
        </w:rPr>
        <w:t>publikacje wchodzące w skład osiągnięcia naukowego</w:t>
      </w:r>
    </w:p>
    <w:p w:rsidR="004311BC" w:rsidRDefault="00B37853" w:rsidP="00B37853">
      <w:pPr>
        <w:rPr>
          <w:rFonts w:ascii="Arial" w:hAnsi="Arial" w:cs="Arial"/>
        </w:rPr>
      </w:pPr>
      <w:r>
        <w:rPr>
          <w:rFonts w:ascii="Arial" w:hAnsi="Arial" w:cs="Arial"/>
        </w:rPr>
        <w:t xml:space="preserve">            Cykl </w:t>
      </w:r>
      <w:r w:rsidR="00C9478E">
        <w:rPr>
          <w:rFonts w:ascii="Arial" w:hAnsi="Arial" w:cs="Arial"/>
        </w:rPr>
        <w:t>5</w:t>
      </w:r>
      <w:r>
        <w:rPr>
          <w:rFonts w:ascii="Arial" w:hAnsi="Arial" w:cs="Arial"/>
        </w:rPr>
        <w:t xml:space="preserve"> publikacji: </w:t>
      </w:r>
      <w:r w:rsidR="00DC22E8">
        <w:rPr>
          <w:rFonts w:ascii="Arial" w:hAnsi="Arial" w:cs="Arial"/>
        </w:rPr>
        <w:t>5</w:t>
      </w:r>
      <w:r>
        <w:rPr>
          <w:rFonts w:ascii="Arial" w:hAnsi="Arial" w:cs="Arial"/>
        </w:rPr>
        <w:t xml:space="preserve"> </w:t>
      </w:r>
      <w:r w:rsidR="00DC22E8">
        <w:rPr>
          <w:rFonts w:ascii="Arial" w:hAnsi="Arial" w:cs="Arial"/>
        </w:rPr>
        <w:t>prac</w:t>
      </w:r>
      <w:r>
        <w:rPr>
          <w:rFonts w:ascii="Arial" w:hAnsi="Arial" w:cs="Arial"/>
        </w:rPr>
        <w:t xml:space="preserve"> oryginaln</w:t>
      </w:r>
      <w:r w:rsidR="00DC22E8">
        <w:rPr>
          <w:rFonts w:ascii="Arial" w:hAnsi="Arial" w:cs="Arial"/>
        </w:rPr>
        <w:t>ych</w:t>
      </w:r>
      <w:r>
        <w:rPr>
          <w:rFonts w:ascii="Arial" w:hAnsi="Arial" w:cs="Arial"/>
        </w:rPr>
        <w:t xml:space="preserve"> </w:t>
      </w:r>
    </w:p>
    <w:p w:rsidR="00223222" w:rsidRPr="00223222" w:rsidRDefault="00B37853" w:rsidP="00223222">
      <w:pPr>
        <w:pStyle w:val="Akapitzlist"/>
        <w:numPr>
          <w:ilvl w:val="0"/>
          <w:numId w:val="7"/>
        </w:numPr>
        <w:rPr>
          <w:rFonts w:ascii="Arial" w:hAnsi="Arial" w:cs="Arial"/>
          <w:b/>
          <w:bCs/>
          <w:shd w:val="clear" w:color="auto" w:fill="FFFFFF"/>
        </w:rPr>
      </w:pPr>
      <w:r w:rsidRPr="00872732">
        <w:rPr>
          <w:rFonts w:ascii="Arial" w:hAnsi="Arial" w:cs="Arial"/>
          <w:b/>
          <w:bCs/>
          <w:shd w:val="clear" w:color="auto" w:fill="FFFFFF"/>
        </w:rPr>
        <w:t>Ambroziak U</w:t>
      </w:r>
      <w:r w:rsidRPr="00872732">
        <w:rPr>
          <w:rFonts w:ascii="Arial" w:hAnsi="Arial" w:cs="Arial"/>
          <w:shd w:val="clear" w:color="auto" w:fill="FFFFFF"/>
        </w:rPr>
        <w:t xml:space="preserve">, Kondracka A, Bartoszewicz Z, </w:t>
      </w:r>
      <w:proofErr w:type="spellStart"/>
      <w:r w:rsidRPr="00872732">
        <w:rPr>
          <w:rFonts w:ascii="Arial" w:hAnsi="Arial" w:cs="Arial"/>
          <w:shd w:val="clear" w:color="auto" w:fill="FFFFFF"/>
        </w:rPr>
        <w:t>Krasnodębska-Kiljańska</w:t>
      </w:r>
      <w:proofErr w:type="spellEnd"/>
      <w:r w:rsidRPr="00872732">
        <w:rPr>
          <w:rFonts w:ascii="Arial" w:hAnsi="Arial" w:cs="Arial"/>
          <w:shd w:val="clear" w:color="auto" w:fill="FFFFFF"/>
        </w:rPr>
        <w:t xml:space="preserve"> M, Bednarczuk T.</w:t>
      </w:r>
      <w:r w:rsidRPr="00872732">
        <w:rPr>
          <w:rFonts w:ascii="Arial" w:hAnsi="Arial" w:cs="Arial"/>
        </w:rPr>
        <w:t xml:space="preserve"> </w:t>
      </w:r>
      <w:hyperlink r:id="rId8" w:history="1">
        <w:r w:rsidRPr="00872732">
          <w:rPr>
            <w:rStyle w:val="Hipercze"/>
            <w:rFonts w:ascii="Arial" w:hAnsi="Arial" w:cs="Arial"/>
            <w:color w:val="auto"/>
            <w:u w:val="none"/>
            <w:shd w:val="clear" w:color="auto" w:fill="FFFFFF"/>
            <w:lang w:val="en-US"/>
          </w:rPr>
          <w:t xml:space="preserve">The morning and late-night salivary </w:t>
        </w:r>
        <w:proofErr w:type="spellStart"/>
        <w:r w:rsidRPr="00872732">
          <w:rPr>
            <w:rStyle w:val="Hipercze"/>
            <w:rFonts w:ascii="Arial" w:hAnsi="Arial" w:cs="Arial"/>
            <w:color w:val="auto"/>
            <w:u w:val="none"/>
            <w:shd w:val="clear" w:color="auto" w:fill="FFFFFF"/>
            <w:lang w:val="en-US"/>
          </w:rPr>
          <w:t>cortisol</w:t>
        </w:r>
        <w:proofErr w:type="spellEnd"/>
        <w:r w:rsidRPr="00872732">
          <w:rPr>
            <w:rStyle w:val="Hipercze"/>
            <w:rFonts w:ascii="Arial" w:hAnsi="Arial" w:cs="Arial"/>
            <w:color w:val="auto"/>
            <w:u w:val="none"/>
            <w:shd w:val="clear" w:color="auto" w:fill="FFFFFF"/>
            <w:lang w:val="en-US"/>
          </w:rPr>
          <w:t xml:space="preserve"> ranges for healthy women may be used in pregnancy.</w:t>
        </w:r>
      </w:hyperlink>
      <w:r w:rsidRPr="00872732">
        <w:rPr>
          <w:rStyle w:val="Nagwek3Znak"/>
          <w:rFonts w:eastAsiaTheme="minorHAnsi"/>
          <w:shd w:val="clear" w:color="auto" w:fill="FFFFFF"/>
          <w:lang w:val="en-US"/>
        </w:rPr>
        <w:t xml:space="preserve"> </w:t>
      </w:r>
      <w:proofErr w:type="spellStart"/>
      <w:r w:rsidRPr="00872732">
        <w:rPr>
          <w:rStyle w:val="jrnl"/>
          <w:rFonts w:ascii="Arial" w:hAnsi="Arial" w:cs="Arial"/>
          <w:shd w:val="clear" w:color="auto" w:fill="FFFFFF"/>
        </w:rPr>
        <w:t>Clin</w:t>
      </w:r>
      <w:proofErr w:type="spellEnd"/>
      <w:r w:rsidRPr="00872732">
        <w:rPr>
          <w:rStyle w:val="jrnl"/>
          <w:rFonts w:ascii="Arial" w:hAnsi="Arial" w:cs="Arial"/>
          <w:shd w:val="clear" w:color="auto" w:fill="FFFFFF"/>
        </w:rPr>
        <w:t xml:space="preserve"> </w:t>
      </w:r>
      <w:proofErr w:type="spellStart"/>
      <w:r w:rsidRPr="00872732">
        <w:rPr>
          <w:rStyle w:val="jrnl"/>
          <w:rFonts w:ascii="Arial" w:hAnsi="Arial" w:cs="Arial"/>
          <w:shd w:val="clear" w:color="auto" w:fill="FFFFFF"/>
        </w:rPr>
        <w:t>Endocrinol</w:t>
      </w:r>
      <w:proofErr w:type="spellEnd"/>
      <w:r w:rsidRPr="00872732">
        <w:rPr>
          <w:rStyle w:val="jrnl"/>
          <w:rFonts w:ascii="Arial" w:hAnsi="Arial" w:cs="Arial"/>
          <w:shd w:val="clear" w:color="auto" w:fill="FFFFFF"/>
        </w:rPr>
        <w:t xml:space="preserve"> (</w:t>
      </w:r>
      <w:proofErr w:type="spellStart"/>
      <w:r w:rsidRPr="00872732">
        <w:rPr>
          <w:rStyle w:val="jrnl"/>
          <w:rFonts w:ascii="Arial" w:hAnsi="Arial" w:cs="Arial"/>
          <w:shd w:val="clear" w:color="auto" w:fill="FFFFFF"/>
        </w:rPr>
        <w:t>Oxf</w:t>
      </w:r>
      <w:proofErr w:type="spellEnd"/>
      <w:r w:rsidRPr="00872732">
        <w:rPr>
          <w:rStyle w:val="jrnl"/>
          <w:rFonts w:ascii="Arial" w:hAnsi="Arial" w:cs="Arial"/>
          <w:shd w:val="clear" w:color="auto" w:fill="FFFFFF"/>
        </w:rPr>
        <w:t>)</w:t>
      </w:r>
      <w:r w:rsidR="004311BC">
        <w:rPr>
          <w:rFonts w:ascii="Arial" w:hAnsi="Arial" w:cs="Arial"/>
          <w:shd w:val="clear" w:color="auto" w:fill="FFFFFF"/>
        </w:rPr>
        <w:t>. 2015</w:t>
      </w:r>
      <w:r w:rsidRPr="00872732">
        <w:rPr>
          <w:rFonts w:ascii="Arial" w:hAnsi="Arial" w:cs="Arial"/>
          <w:shd w:val="clear" w:color="auto" w:fill="FFFFFF"/>
        </w:rPr>
        <w:t xml:space="preserve">;83(6):774-8. </w:t>
      </w:r>
    </w:p>
    <w:p w:rsidR="00223222" w:rsidRDefault="00B37853" w:rsidP="00223222">
      <w:pPr>
        <w:pStyle w:val="Akapitzlist"/>
        <w:spacing w:line="240" w:lineRule="auto"/>
        <w:rPr>
          <w:rFonts w:ascii="Arial" w:hAnsi="Arial" w:cs="Arial"/>
          <w:b/>
          <w:bCs/>
          <w:shd w:val="clear" w:color="auto" w:fill="FFFFFF"/>
        </w:rPr>
      </w:pPr>
      <w:r w:rsidRPr="00223222">
        <w:rPr>
          <w:rFonts w:ascii="Arial" w:hAnsi="Arial" w:cs="Arial"/>
          <w:b/>
          <w:bCs/>
          <w:shd w:val="clear" w:color="auto" w:fill="FFFFFF"/>
        </w:rPr>
        <w:t>IF</w:t>
      </w:r>
      <w:r w:rsidR="00DC1C55" w:rsidRPr="00223222">
        <w:rPr>
          <w:rFonts w:ascii="Arial" w:hAnsi="Arial" w:cs="Arial"/>
          <w:b/>
          <w:bCs/>
          <w:shd w:val="clear" w:color="auto" w:fill="FFFFFF"/>
        </w:rPr>
        <w:t xml:space="preserve"> 3,487</w:t>
      </w:r>
    </w:p>
    <w:p w:rsidR="00DE352F" w:rsidRPr="00223222" w:rsidRDefault="00B37853" w:rsidP="00223222">
      <w:pPr>
        <w:pStyle w:val="Akapitzlist"/>
        <w:spacing w:line="240" w:lineRule="auto"/>
        <w:rPr>
          <w:rFonts w:ascii="Arial" w:hAnsi="Arial" w:cs="Arial"/>
          <w:b/>
          <w:bCs/>
          <w:shd w:val="clear" w:color="auto" w:fill="FFFFFF"/>
        </w:rPr>
      </w:pPr>
      <w:proofErr w:type="spellStart"/>
      <w:r w:rsidRPr="00223222">
        <w:rPr>
          <w:rFonts w:ascii="Arial" w:hAnsi="Arial" w:cs="Arial"/>
          <w:b/>
          <w:bCs/>
          <w:shd w:val="clear" w:color="auto" w:fill="FFFFFF"/>
        </w:rPr>
        <w:t>MNiSW</w:t>
      </w:r>
      <w:proofErr w:type="spellEnd"/>
      <w:r w:rsidR="00DE352F" w:rsidRPr="00223222">
        <w:rPr>
          <w:rFonts w:ascii="Arial" w:hAnsi="Arial" w:cs="Arial"/>
          <w:bCs/>
          <w:shd w:val="clear" w:color="auto" w:fill="FFFFFF"/>
        </w:rPr>
        <w:t xml:space="preserve"> </w:t>
      </w:r>
      <w:r w:rsidR="00DC1C55" w:rsidRPr="00223222">
        <w:rPr>
          <w:rFonts w:ascii="Arial" w:hAnsi="Arial" w:cs="Arial"/>
          <w:b/>
          <w:bCs/>
          <w:shd w:val="clear" w:color="auto" w:fill="FFFFFF"/>
        </w:rPr>
        <w:t>30</w:t>
      </w:r>
    </w:p>
    <w:p w:rsidR="004311BC" w:rsidRDefault="004311BC" w:rsidP="004311BC">
      <w:pPr>
        <w:ind w:left="709"/>
        <w:rPr>
          <w:rFonts w:ascii="Arial" w:hAnsi="Arial" w:cs="Arial"/>
        </w:rPr>
      </w:pPr>
      <w:r>
        <w:rPr>
          <w:rFonts w:ascii="Arial" w:hAnsi="Arial" w:cs="Arial"/>
        </w:rPr>
        <w:lastRenderedPageBreak/>
        <w:t>Mój wkład w przygotowanie tej pracy polegał na zebraniu części  badanych grup kobiet,  analizie  uzyskanych wyników oraz przygotowaniu ostatecznej wersji manuskryptu. Mój</w:t>
      </w:r>
      <w:r w:rsidR="001B646A">
        <w:rPr>
          <w:rFonts w:ascii="Arial" w:hAnsi="Arial" w:cs="Arial"/>
        </w:rPr>
        <w:t xml:space="preserve"> udział procentowy szacuję na  45</w:t>
      </w:r>
      <w:r>
        <w:rPr>
          <w:rFonts w:ascii="Arial" w:hAnsi="Arial" w:cs="Arial"/>
        </w:rPr>
        <w:t xml:space="preserve">%.     </w:t>
      </w:r>
    </w:p>
    <w:p w:rsidR="00B37853" w:rsidRDefault="00B37853" w:rsidP="004311BC">
      <w:pPr>
        <w:rPr>
          <w:rFonts w:ascii="Arial" w:hAnsi="Arial" w:cs="Arial"/>
          <w:b/>
          <w:bCs/>
          <w:shd w:val="clear" w:color="auto" w:fill="FFFFFF"/>
        </w:rPr>
      </w:pPr>
    </w:p>
    <w:p w:rsidR="009620E1" w:rsidRPr="004311BC" w:rsidRDefault="00B37853" w:rsidP="00B37853">
      <w:pPr>
        <w:pStyle w:val="Akapitzlist"/>
        <w:numPr>
          <w:ilvl w:val="0"/>
          <w:numId w:val="7"/>
        </w:numPr>
        <w:rPr>
          <w:rFonts w:ascii="Arial" w:hAnsi="Arial" w:cs="Arial"/>
          <w:b/>
          <w:bCs/>
          <w:shd w:val="clear" w:color="auto" w:fill="FFFFFF"/>
        </w:rPr>
      </w:pPr>
      <w:r w:rsidRPr="004311BC">
        <w:rPr>
          <w:rFonts w:ascii="Arial" w:hAnsi="Arial" w:cs="Arial"/>
          <w:b/>
          <w:bCs/>
          <w:shd w:val="clear" w:color="auto" w:fill="FFFFFF"/>
        </w:rPr>
        <w:t>Ambroziak U</w:t>
      </w:r>
      <w:r w:rsidRPr="004311BC">
        <w:rPr>
          <w:rFonts w:ascii="Arial" w:hAnsi="Arial" w:cs="Arial"/>
          <w:shd w:val="clear" w:color="auto" w:fill="FFFFFF"/>
        </w:rPr>
        <w:t xml:space="preserve">, </w:t>
      </w:r>
      <w:proofErr w:type="spellStart"/>
      <w:r w:rsidRPr="004311BC">
        <w:rPr>
          <w:rFonts w:ascii="Arial" w:hAnsi="Arial" w:cs="Arial"/>
          <w:shd w:val="clear" w:color="auto" w:fill="FFFFFF"/>
        </w:rPr>
        <w:t>Kępczyńska-Nyk</w:t>
      </w:r>
      <w:proofErr w:type="spellEnd"/>
      <w:r w:rsidRPr="004311BC">
        <w:rPr>
          <w:rFonts w:ascii="Arial" w:hAnsi="Arial" w:cs="Arial"/>
          <w:shd w:val="clear" w:color="auto" w:fill="FFFFFF"/>
        </w:rPr>
        <w:t xml:space="preserve"> A, Kuryłowicz A, </w:t>
      </w:r>
      <w:proofErr w:type="spellStart"/>
      <w:r w:rsidRPr="004311BC">
        <w:rPr>
          <w:rFonts w:ascii="Arial" w:hAnsi="Arial" w:cs="Arial"/>
          <w:shd w:val="clear" w:color="auto" w:fill="FFFFFF"/>
        </w:rPr>
        <w:t>Małunowicz</w:t>
      </w:r>
      <w:proofErr w:type="spellEnd"/>
      <w:r w:rsidRPr="004311BC">
        <w:rPr>
          <w:rFonts w:ascii="Arial" w:hAnsi="Arial" w:cs="Arial"/>
          <w:shd w:val="clear" w:color="auto" w:fill="FFFFFF"/>
        </w:rPr>
        <w:t xml:space="preserve"> EM</w:t>
      </w:r>
      <w:r w:rsidR="00A92997" w:rsidRPr="004311BC">
        <w:rPr>
          <w:rFonts w:ascii="Arial" w:hAnsi="Arial" w:cs="Arial"/>
          <w:shd w:val="clear" w:color="auto" w:fill="FFFFFF"/>
        </w:rPr>
        <w:t>†</w:t>
      </w:r>
      <w:r w:rsidR="00DC65B1" w:rsidRPr="004311BC">
        <w:rPr>
          <w:rFonts w:ascii="Arial" w:hAnsi="Arial" w:cs="Arial"/>
          <w:shd w:val="clear" w:color="auto" w:fill="FFFFFF"/>
        </w:rPr>
        <w:t>, Wójcicka A, Miśkiewicz P</w:t>
      </w:r>
      <w:r w:rsidRPr="004311BC">
        <w:rPr>
          <w:rFonts w:ascii="Arial" w:hAnsi="Arial" w:cs="Arial"/>
          <w:shd w:val="clear" w:color="auto" w:fill="FFFFFF"/>
        </w:rPr>
        <w:t xml:space="preserve">, </w:t>
      </w:r>
      <w:proofErr w:type="spellStart"/>
      <w:r w:rsidRPr="004311BC">
        <w:rPr>
          <w:rFonts w:ascii="Arial" w:hAnsi="Arial" w:cs="Arial"/>
          <w:shd w:val="clear" w:color="auto" w:fill="FFFFFF"/>
        </w:rPr>
        <w:t>Macech</w:t>
      </w:r>
      <w:proofErr w:type="spellEnd"/>
      <w:r w:rsidRPr="004311BC">
        <w:rPr>
          <w:rFonts w:ascii="Arial" w:hAnsi="Arial" w:cs="Arial"/>
          <w:shd w:val="clear" w:color="auto" w:fill="FFFFFF"/>
        </w:rPr>
        <w:t xml:space="preserve"> M.</w:t>
      </w:r>
      <w:r w:rsidRPr="004311BC">
        <w:rPr>
          <w:rFonts w:ascii="Arial" w:hAnsi="Arial" w:cs="Arial"/>
        </w:rPr>
        <w:t xml:space="preserve"> </w:t>
      </w:r>
      <w:hyperlink r:id="rId9" w:history="1">
        <w:r w:rsidRPr="004311BC">
          <w:rPr>
            <w:rStyle w:val="Hipercze"/>
            <w:rFonts w:ascii="Arial" w:hAnsi="Arial" w:cs="Arial"/>
            <w:color w:val="auto"/>
            <w:u w:val="none"/>
            <w:shd w:val="clear" w:color="auto" w:fill="FFFFFF"/>
            <w:lang w:val="en-US"/>
          </w:rPr>
          <w:t xml:space="preserve">The diagnosis of </w:t>
        </w:r>
        <w:proofErr w:type="spellStart"/>
        <w:r w:rsidRPr="004311BC">
          <w:rPr>
            <w:rStyle w:val="Hipercze"/>
            <w:rFonts w:ascii="Arial" w:hAnsi="Arial" w:cs="Arial"/>
            <w:color w:val="auto"/>
            <w:u w:val="none"/>
            <w:shd w:val="clear" w:color="auto" w:fill="FFFFFF"/>
            <w:lang w:val="en-US"/>
          </w:rPr>
          <w:t>nonclassic</w:t>
        </w:r>
        <w:proofErr w:type="spellEnd"/>
        <w:r w:rsidRPr="004311BC">
          <w:rPr>
            <w:rStyle w:val="Hipercze"/>
            <w:rFonts w:ascii="Arial" w:hAnsi="Arial" w:cs="Arial"/>
            <w:color w:val="auto"/>
            <w:u w:val="none"/>
            <w:shd w:val="clear" w:color="auto" w:fill="FFFFFF"/>
            <w:lang w:val="en-US"/>
          </w:rPr>
          <w:t xml:space="preserve"> congenital adrenal hyperplasia due to 21-hydroxylase deficiency, based on serum basal or post-ACTH stimulation 17-hydroxyprogesterone, can lead to false-positive diagnosis.</w:t>
        </w:r>
      </w:hyperlink>
      <w:r w:rsidRPr="004311BC">
        <w:rPr>
          <w:rStyle w:val="Nagwek3Znak"/>
          <w:rFonts w:eastAsiaTheme="minorHAnsi"/>
          <w:shd w:val="clear" w:color="auto" w:fill="FFFFFF"/>
          <w:lang w:val="en-US"/>
        </w:rPr>
        <w:t xml:space="preserve"> </w:t>
      </w:r>
      <w:proofErr w:type="spellStart"/>
      <w:r w:rsidRPr="004311BC">
        <w:rPr>
          <w:rStyle w:val="jrnl"/>
          <w:rFonts w:ascii="Arial" w:hAnsi="Arial" w:cs="Arial"/>
          <w:shd w:val="clear" w:color="auto" w:fill="FFFFFF"/>
        </w:rPr>
        <w:t>Clin</w:t>
      </w:r>
      <w:proofErr w:type="spellEnd"/>
      <w:r w:rsidRPr="004311BC">
        <w:rPr>
          <w:rStyle w:val="jrnl"/>
          <w:rFonts w:ascii="Arial" w:hAnsi="Arial" w:cs="Arial"/>
          <w:shd w:val="clear" w:color="auto" w:fill="FFFFFF"/>
        </w:rPr>
        <w:t xml:space="preserve"> </w:t>
      </w:r>
      <w:proofErr w:type="spellStart"/>
      <w:r w:rsidRPr="004311BC">
        <w:rPr>
          <w:rStyle w:val="jrnl"/>
          <w:rFonts w:ascii="Arial" w:hAnsi="Arial" w:cs="Arial"/>
          <w:shd w:val="clear" w:color="auto" w:fill="FFFFFF"/>
        </w:rPr>
        <w:t>Endocrinol</w:t>
      </w:r>
      <w:proofErr w:type="spellEnd"/>
      <w:r w:rsidRPr="004311BC">
        <w:rPr>
          <w:rStyle w:val="jrnl"/>
          <w:rFonts w:ascii="Arial" w:hAnsi="Arial" w:cs="Arial"/>
          <w:shd w:val="clear" w:color="auto" w:fill="FFFFFF"/>
        </w:rPr>
        <w:t xml:space="preserve"> (</w:t>
      </w:r>
      <w:proofErr w:type="spellStart"/>
      <w:r w:rsidRPr="004311BC">
        <w:rPr>
          <w:rStyle w:val="jrnl"/>
          <w:rFonts w:ascii="Arial" w:hAnsi="Arial" w:cs="Arial"/>
          <w:shd w:val="clear" w:color="auto" w:fill="FFFFFF"/>
        </w:rPr>
        <w:t>Oxf</w:t>
      </w:r>
      <w:proofErr w:type="spellEnd"/>
      <w:r w:rsidRPr="004311BC">
        <w:rPr>
          <w:rStyle w:val="jrnl"/>
          <w:rFonts w:ascii="Arial" w:hAnsi="Arial" w:cs="Arial"/>
          <w:shd w:val="clear" w:color="auto" w:fill="FFFFFF"/>
        </w:rPr>
        <w:t>)</w:t>
      </w:r>
      <w:r w:rsidRPr="004311BC">
        <w:rPr>
          <w:rFonts w:ascii="Arial" w:hAnsi="Arial" w:cs="Arial"/>
          <w:shd w:val="clear" w:color="auto" w:fill="FFFFFF"/>
        </w:rPr>
        <w:t xml:space="preserve">. 2016;84(1):23-9. </w:t>
      </w:r>
    </w:p>
    <w:p w:rsidR="00223222" w:rsidRDefault="00B37853" w:rsidP="00223222">
      <w:pPr>
        <w:pStyle w:val="Akapitzlist"/>
        <w:spacing w:line="240" w:lineRule="auto"/>
        <w:rPr>
          <w:rFonts w:ascii="Arial" w:hAnsi="Arial" w:cs="Arial"/>
          <w:b/>
          <w:bCs/>
          <w:shd w:val="clear" w:color="auto" w:fill="FFFFFF"/>
        </w:rPr>
      </w:pPr>
      <w:r>
        <w:rPr>
          <w:rFonts w:ascii="Arial" w:hAnsi="Arial" w:cs="Arial"/>
          <w:b/>
          <w:bCs/>
          <w:shd w:val="clear" w:color="auto" w:fill="FFFFFF"/>
        </w:rPr>
        <w:t>IF</w:t>
      </w:r>
      <w:r w:rsidR="00DC1C55">
        <w:rPr>
          <w:rFonts w:ascii="Arial" w:hAnsi="Arial" w:cs="Arial"/>
          <w:b/>
          <w:bCs/>
          <w:shd w:val="clear" w:color="auto" w:fill="FFFFFF"/>
        </w:rPr>
        <w:t xml:space="preserve"> 3,327</w:t>
      </w:r>
    </w:p>
    <w:p w:rsidR="00B37853" w:rsidRPr="00223222" w:rsidRDefault="00B37853" w:rsidP="00223222">
      <w:pPr>
        <w:pStyle w:val="Akapitzlist"/>
        <w:spacing w:line="240" w:lineRule="auto"/>
        <w:rPr>
          <w:rFonts w:ascii="Arial" w:hAnsi="Arial" w:cs="Arial"/>
          <w:b/>
          <w:bCs/>
          <w:shd w:val="clear" w:color="auto" w:fill="FFFFFF"/>
        </w:rPr>
      </w:pPr>
      <w:proofErr w:type="spellStart"/>
      <w:r w:rsidRPr="00223222">
        <w:rPr>
          <w:rFonts w:ascii="Arial" w:hAnsi="Arial" w:cs="Arial"/>
          <w:b/>
          <w:bCs/>
          <w:shd w:val="clear" w:color="auto" w:fill="FFFFFF"/>
        </w:rPr>
        <w:t>MNiSW</w:t>
      </w:r>
      <w:proofErr w:type="spellEnd"/>
      <w:r w:rsidR="00DC1C55" w:rsidRPr="00223222">
        <w:rPr>
          <w:rFonts w:ascii="Arial" w:hAnsi="Arial" w:cs="Arial"/>
          <w:b/>
          <w:bCs/>
          <w:shd w:val="clear" w:color="auto" w:fill="FFFFFF"/>
        </w:rPr>
        <w:t xml:space="preserve"> 30</w:t>
      </w:r>
    </w:p>
    <w:p w:rsidR="00554582" w:rsidRDefault="00554582" w:rsidP="00554582">
      <w:pPr>
        <w:ind w:left="709"/>
        <w:rPr>
          <w:rFonts w:ascii="Arial" w:hAnsi="Arial" w:cs="Arial"/>
        </w:rPr>
      </w:pPr>
      <w:r>
        <w:rPr>
          <w:rFonts w:ascii="Arial" w:hAnsi="Arial" w:cs="Arial"/>
        </w:rPr>
        <w:t xml:space="preserve">Mój wkład w przygotowanie tej pracy polegał na przygotowaniu projektu pracy, częściowym zebraniu grupy badanej, charakterystyce badanej grupy, przygotowaniu bazy danych,  analizie  uzyskanych wyników  oraz pomocy w przygotowaniu wstępnych wersji wszystkich rozdziałów manuskryptu i  przygotowaniu ostatecznej wersji manuskryptu. Mój udział procentowy szacuję na  60%.     </w:t>
      </w:r>
    </w:p>
    <w:p w:rsidR="00554582" w:rsidRDefault="00554582" w:rsidP="00DE352F">
      <w:pPr>
        <w:ind w:left="720"/>
        <w:rPr>
          <w:rFonts w:ascii="Arial" w:hAnsi="Arial" w:cs="Arial"/>
          <w:bCs/>
          <w:highlight w:val="yellow"/>
          <w:shd w:val="clear" w:color="auto" w:fill="FFFFFF"/>
        </w:rPr>
      </w:pPr>
    </w:p>
    <w:p w:rsidR="00B37853" w:rsidRDefault="00B37853" w:rsidP="00B37853">
      <w:pPr>
        <w:pStyle w:val="Akapitzlist"/>
        <w:rPr>
          <w:rFonts w:ascii="Arial" w:hAnsi="Arial" w:cs="Arial"/>
          <w:b/>
          <w:bCs/>
          <w:shd w:val="clear" w:color="auto" w:fill="FFFFFF"/>
        </w:rPr>
      </w:pPr>
    </w:p>
    <w:p w:rsidR="00223222" w:rsidRPr="00223222" w:rsidRDefault="00B37853" w:rsidP="00223222">
      <w:pPr>
        <w:pStyle w:val="Akapitzlist"/>
        <w:numPr>
          <w:ilvl w:val="0"/>
          <w:numId w:val="7"/>
        </w:numPr>
        <w:rPr>
          <w:rStyle w:val="apple-converted-space"/>
          <w:rFonts w:ascii="Arial" w:hAnsi="Arial" w:cs="Arial"/>
          <w:b/>
          <w:bCs/>
          <w:shd w:val="clear" w:color="auto" w:fill="FFFFFF"/>
        </w:rPr>
      </w:pPr>
      <w:r w:rsidRPr="00872732">
        <w:rPr>
          <w:rFonts w:ascii="Arial" w:hAnsi="Arial" w:cs="Arial"/>
          <w:b/>
          <w:bCs/>
          <w:shd w:val="clear" w:color="auto" w:fill="FFFFFF"/>
        </w:rPr>
        <w:t>Ambroziak U</w:t>
      </w:r>
      <w:r w:rsidRPr="00872732">
        <w:rPr>
          <w:rFonts w:ascii="Arial" w:hAnsi="Arial" w:cs="Arial"/>
          <w:shd w:val="clear" w:color="auto" w:fill="FFFFFF"/>
        </w:rPr>
        <w:t xml:space="preserve">, </w:t>
      </w:r>
      <w:proofErr w:type="spellStart"/>
      <w:r w:rsidRPr="00872732">
        <w:rPr>
          <w:rFonts w:ascii="Arial" w:hAnsi="Arial" w:cs="Arial"/>
          <w:shd w:val="clear" w:color="auto" w:fill="FFFFFF"/>
        </w:rPr>
        <w:t>Kępczyńska-Nyk</w:t>
      </w:r>
      <w:proofErr w:type="spellEnd"/>
      <w:r w:rsidRPr="00872732">
        <w:rPr>
          <w:rFonts w:ascii="Arial" w:hAnsi="Arial" w:cs="Arial"/>
          <w:shd w:val="clear" w:color="auto" w:fill="FFFFFF"/>
        </w:rPr>
        <w:t xml:space="preserve"> A, Kuryłowicz A, Wysłouch-Cieszyńska A, </w:t>
      </w:r>
      <w:proofErr w:type="spellStart"/>
      <w:r w:rsidRPr="00872732">
        <w:rPr>
          <w:rFonts w:ascii="Arial" w:hAnsi="Arial" w:cs="Arial"/>
          <w:shd w:val="clear" w:color="auto" w:fill="FFFFFF"/>
        </w:rPr>
        <w:t>Małunowicz</w:t>
      </w:r>
      <w:proofErr w:type="spellEnd"/>
      <w:r w:rsidRPr="00872732">
        <w:rPr>
          <w:rFonts w:ascii="Arial" w:hAnsi="Arial" w:cs="Arial"/>
          <w:shd w:val="clear" w:color="auto" w:fill="FFFFFF"/>
        </w:rPr>
        <w:t xml:space="preserve"> EM</w:t>
      </w:r>
      <w:r w:rsidR="00A92997">
        <w:rPr>
          <w:rFonts w:ascii="Arial" w:hAnsi="Arial" w:cs="Arial"/>
          <w:shd w:val="clear" w:color="auto" w:fill="FFFFFF"/>
        </w:rPr>
        <w:t>†</w:t>
      </w:r>
      <w:r w:rsidRPr="00872732">
        <w:rPr>
          <w:rFonts w:ascii="Arial" w:hAnsi="Arial" w:cs="Arial"/>
          <w:shd w:val="clear" w:color="auto" w:fill="FFFFFF"/>
        </w:rPr>
        <w:t xml:space="preserve">, Bartoszewicz Z, Kondracka A, Jaźwiec R, Pawłowska E, Szcześniak M, </w:t>
      </w:r>
      <w:proofErr w:type="spellStart"/>
      <w:r w:rsidRPr="00872732">
        <w:rPr>
          <w:rFonts w:ascii="Arial" w:hAnsi="Arial" w:cs="Arial"/>
          <w:shd w:val="clear" w:color="auto" w:fill="FFFFFF"/>
        </w:rPr>
        <w:t>Dadlez</w:t>
      </w:r>
      <w:proofErr w:type="spellEnd"/>
      <w:r w:rsidRPr="00872732">
        <w:rPr>
          <w:rFonts w:ascii="Arial" w:hAnsi="Arial" w:cs="Arial"/>
          <w:shd w:val="clear" w:color="auto" w:fill="FFFFFF"/>
        </w:rPr>
        <w:t xml:space="preserve"> M, Bednarczuk T.</w:t>
      </w:r>
      <w:r w:rsidRPr="00872732">
        <w:rPr>
          <w:rFonts w:ascii="Arial" w:hAnsi="Arial" w:cs="Arial"/>
        </w:rPr>
        <w:t xml:space="preserve"> </w:t>
      </w:r>
      <w:hyperlink r:id="rId10" w:history="1">
        <w:r w:rsidRPr="00872732">
          <w:rPr>
            <w:rStyle w:val="Hipercze"/>
            <w:rFonts w:ascii="Arial" w:hAnsi="Arial" w:cs="Arial"/>
            <w:color w:val="auto"/>
            <w:u w:val="none"/>
            <w:shd w:val="clear" w:color="auto" w:fill="FFFFFF"/>
            <w:lang w:val="en-US"/>
          </w:rPr>
          <w:t>LC-MS/MS improves screening towards 21-hydroxylase deficiency.</w:t>
        </w:r>
      </w:hyperlink>
      <w:r w:rsidRPr="00872732">
        <w:rPr>
          <w:rStyle w:val="Nagwek3Znak"/>
          <w:rFonts w:eastAsiaTheme="minorHAnsi"/>
          <w:shd w:val="clear" w:color="auto" w:fill="FFFFFF"/>
          <w:lang w:val="en-US"/>
        </w:rPr>
        <w:t xml:space="preserve"> </w:t>
      </w:r>
      <w:proofErr w:type="spellStart"/>
      <w:r w:rsidRPr="00872732">
        <w:rPr>
          <w:rStyle w:val="jrnl"/>
          <w:rFonts w:ascii="Arial" w:hAnsi="Arial" w:cs="Arial"/>
          <w:shd w:val="clear" w:color="auto" w:fill="FFFFFF"/>
          <w:lang w:val="en-US"/>
        </w:rPr>
        <w:t>Gynecol</w:t>
      </w:r>
      <w:proofErr w:type="spellEnd"/>
      <w:r w:rsidRPr="00872732">
        <w:rPr>
          <w:rStyle w:val="jrnl"/>
          <w:rFonts w:ascii="Arial" w:hAnsi="Arial" w:cs="Arial"/>
          <w:shd w:val="clear" w:color="auto" w:fill="FFFFFF"/>
          <w:lang w:val="en-US"/>
        </w:rPr>
        <w:t xml:space="preserve"> </w:t>
      </w:r>
      <w:proofErr w:type="spellStart"/>
      <w:r w:rsidRPr="00872732">
        <w:rPr>
          <w:rStyle w:val="jrnl"/>
          <w:rFonts w:ascii="Arial" w:hAnsi="Arial" w:cs="Arial"/>
          <w:shd w:val="clear" w:color="auto" w:fill="FFFFFF"/>
          <w:lang w:val="en-US"/>
        </w:rPr>
        <w:t>Endocrinol</w:t>
      </w:r>
      <w:proofErr w:type="spellEnd"/>
      <w:r w:rsidRPr="00872732">
        <w:rPr>
          <w:rFonts w:ascii="Arial" w:hAnsi="Arial" w:cs="Arial"/>
          <w:shd w:val="clear" w:color="auto" w:fill="FFFFFF"/>
          <w:lang w:val="en-US"/>
        </w:rPr>
        <w:t xml:space="preserve">. </w:t>
      </w:r>
      <w:r>
        <w:rPr>
          <w:rFonts w:ascii="Arial" w:hAnsi="Arial" w:cs="Arial"/>
          <w:shd w:val="clear" w:color="auto" w:fill="FFFFFF"/>
        </w:rPr>
        <w:t>2015;31(4):296-300. doi:</w:t>
      </w:r>
      <w:r w:rsidRPr="00872732">
        <w:rPr>
          <w:rFonts w:ascii="Arial" w:hAnsi="Arial" w:cs="Arial"/>
          <w:shd w:val="clear" w:color="auto" w:fill="FFFFFF"/>
        </w:rPr>
        <w:t>10.3109/09513590.2014.994599.</w:t>
      </w:r>
      <w:r w:rsidRPr="00872732">
        <w:rPr>
          <w:rStyle w:val="apple-converted-space"/>
          <w:rFonts w:cs="Arial"/>
          <w:shd w:val="clear" w:color="auto" w:fill="FFFFFF"/>
        </w:rPr>
        <w:t> </w:t>
      </w:r>
    </w:p>
    <w:p w:rsidR="00D37DAC" w:rsidRPr="00223222" w:rsidRDefault="00B37853" w:rsidP="00223222">
      <w:pPr>
        <w:pStyle w:val="Akapitzlist"/>
        <w:rPr>
          <w:rFonts w:ascii="Arial" w:hAnsi="Arial" w:cs="Arial"/>
          <w:b/>
          <w:bCs/>
          <w:shd w:val="clear" w:color="auto" w:fill="FFFFFF"/>
        </w:rPr>
      </w:pPr>
      <w:r w:rsidRPr="00223222">
        <w:rPr>
          <w:rFonts w:ascii="Arial" w:hAnsi="Arial" w:cs="Arial"/>
          <w:b/>
          <w:bCs/>
          <w:shd w:val="clear" w:color="auto" w:fill="FFFFFF"/>
        </w:rPr>
        <w:t>IF</w:t>
      </w:r>
      <w:r w:rsidR="00DC1C55" w:rsidRPr="00223222">
        <w:rPr>
          <w:rFonts w:ascii="Arial" w:hAnsi="Arial" w:cs="Arial"/>
          <w:b/>
          <w:bCs/>
          <w:shd w:val="clear" w:color="auto" w:fill="FFFFFF"/>
        </w:rPr>
        <w:t xml:space="preserve"> 1,413</w:t>
      </w:r>
    </w:p>
    <w:p w:rsidR="00B37853" w:rsidRPr="00D37DAC" w:rsidRDefault="00B37853" w:rsidP="00547099">
      <w:pPr>
        <w:pStyle w:val="Akapitzlist"/>
        <w:spacing w:line="360" w:lineRule="auto"/>
        <w:rPr>
          <w:rFonts w:ascii="Arial" w:hAnsi="Arial" w:cs="Arial"/>
          <w:b/>
          <w:bCs/>
          <w:shd w:val="clear" w:color="auto" w:fill="FFFFFF"/>
        </w:rPr>
      </w:pPr>
      <w:proofErr w:type="spellStart"/>
      <w:r w:rsidRPr="00D37DAC">
        <w:rPr>
          <w:rFonts w:ascii="Arial" w:hAnsi="Arial" w:cs="Arial"/>
          <w:b/>
          <w:bCs/>
          <w:shd w:val="clear" w:color="auto" w:fill="FFFFFF"/>
        </w:rPr>
        <w:t>MNiSW</w:t>
      </w:r>
      <w:proofErr w:type="spellEnd"/>
      <w:r w:rsidR="00DC1C55" w:rsidRPr="00D37DAC">
        <w:rPr>
          <w:rFonts w:ascii="Arial" w:hAnsi="Arial" w:cs="Arial"/>
          <w:b/>
          <w:bCs/>
          <w:shd w:val="clear" w:color="auto" w:fill="FFFFFF"/>
        </w:rPr>
        <w:t xml:space="preserve"> 15</w:t>
      </w:r>
    </w:p>
    <w:p w:rsidR="00997073" w:rsidRPr="008E1643" w:rsidRDefault="00997073" w:rsidP="008E1643">
      <w:pPr>
        <w:ind w:left="709"/>
        <w:rPr>
          <w:rFonts w:ascii="Arial" w:hAnsi="Arial" w:cs="Arial"/>
        </w:rPr>
      </w:pPr>
      <w:r w:rsidRPr="008E1643">
        <w:rPr>
          <w:rFonts w:ascii="Arial" w:hAnsi="Arial" w:cs="Arial"/>
        </w:rPr>
        <w:t>Mój wkład w przygotowanie tej pracy polegał</w:t>
      </w:r>
      <w:r w:rsidR="008E1643">
        <w:rPr>
          <w:rFonts w:ascii="Arial" w:hAnsi="Arial" w:cs="Arial"/>
        </w:rPr>
        <w:t xml:space="preserve"> na </w:t>
      </w:r>
      <w:r w:rsidR="008E1643" w:rsidRPr="008E1643">
        <w:rPr>
          <w:rFonts w:ascii="Arial" w:hAnsi="Arial" w:cs="Arial"/>
        </w:rPr>
        <w:t xml:space="preserve">zaplanowaniu badania w zakresie oceny porównawczej oznaczeń 17-hydroxyprogesteronu metodą </w:t>
      </w:r>
      <w:proofErr w:type="spellStart"/>
      <w:r w:rsidR="008E1643" w:rsidRPr="008E1643">
        <w:rPr>
          <w:rFonts w:ascii="Arial" w:hAnsi="Arial" w:cs="Arial"/>
        </w:rPr>
        <w:t>LC-MS</w:t>
      </w:r>
      <w:proofErr w:type="spellEnd"/>
      <w:r w:rsidR="008E1643" w:rsidRPr="008E1643">
        <w:rPr>
          <w:rFonts w:ascii="Arial" w:hAnsi="Arial" w:cs="Arial"/>
        </w:rPr>
        <w:t>/MS i metodami immuno</w:t>
      </w:r>
      <w:r w:rsidR="00583B64">
        <w:rPr>
          <w:rFonts w:ascii="Arial" w:hAnsi="Arial" w:cs="Arial"/>
        </w:rPr>
        <w:t>enzymatycznymi</w:t>
      </w:r>
      <w:r w:rsidR="008E1643" w:rsidRPr="008E1643">
        <w:rPr>
          <w:rFonts w:ascii="Arial" w:hAnsi="Arial" w:cs="Arial"/>
        </w:rPr>
        <w:t>, częściowym zebraniu badanych grup, ich charakterystyce, analizie  uzyskanych wyników oraz pomocy w przygotowaniu wstępnych wersji wszystkich rozdziałów manuskryptu i  przygotowaniu ostatecznej wersji manuskryptu.</w:t>
      </w:r>
      <w:r w:rsidRPr="008E1643">
        <w:rPr>
          <w:rFonts w:ascii="Arial" w:hAnsi="Arial" w:cs="Arial"/>
        </w:rPr>
        <w:t xml:space="preserve"> Mój</w:t>
      </w:r>
      <w:r w:rsidR="006517BE" w:rsidRPr="008E1643">
        <w:rPr>
          <w:rFonts w:ascii="Arial" w:hAnsi="Arial" w:cs="Arial"/>
        </w:rPr>
        <w:t xml:space="preserve"> udział procentowy szacuję na  6</w:t>
      </w:r>
      <w:r w:rsidRPr="008E1643">
        <w:rPr>
          <w:rFonts w:ascii="Arial" w:hAnsi="Arial" w:cs="Arial"/>
        </w:rPr>
        <w:t xml:space="preserve">0%.     </w:t>
      </w:r>
    </w:p>
    <w:p w:rsidR="00997073" w:rsidRDefault="00997073" w:rsidP="00B37853">
      <w:pPr>
        <w:pStyle w:val="Akapitzlist"/>
        <w:rPr>
          <w:rFonts w:ascii="Arial" w:hAnsi="Arial" w:cs="Arial"/>
          <w:bCs/>
          <w:highlight w:val="yellow"/>
          <w:shd w:val="clear" w:color="auto" w:fill="FFFFFF"/>
        </w:rPr>
      </w:pPr>
    </w:p>
    <w:p w:rsidR="00DE21DE" w:rsidRDefault="00DE21DE" w:rsidP="00B37853">
      <w:pPr>
        <w:pStyle w:val="Akapitzlist"/>
        <w:rPr>
          <w:rFonts w:ascii="Arial" w:hAnsi="Arial" w:cs="Arial"/>
          <w:b/>
          <w:bCs/>
          <w:shd w:val="clear" w:color="auto" w:fill="FFFFFF"/>
        </w:rPr>
      </w:pPr>
    </w:p>
    <w:p w:rsidR="00223222" w:rsidRPr="00223222" w:rsidRDefault="00C9478E" w:rsidP="00223222">
      <w:pPr>
        <w:pStyle w:val="Akapitzlist"/>
        <w:numPr>
          <w:ilvl w:val="0"/>
          <w:numId w:val="7"/>
        </w:numPr>
        <w:spacing w:line="240" w:lineRule="auto"/>
        <w:ind w:left="708"/>
        <w:rPr>
          <w:rFonts w:ascii="Arial" w:hAnsi="Arial" w:cs="Arial"/>
          <w:b/>
          <w:bCs/>
          <w:shd w:val="clear" w:color="auto" w:fill="FFFFFF"/>
        </w:rPr>
      </w:pPr>
      <w:r w:rsidRPr="004311BC">
        <w:rPr>
          <w:rFonts w:ascii="Arial" w:hAnsi="Arial" w:cs="Arial"/>
        </w:rPr>
        <w:t xml:space="preserve">Zawadzka-Leska SK, Radziszewski M, Malec K, Stadnik A, </w:t>
      </w:r>
      <w:r w:rsidRPr="004311BC">
        <w:rPr>
          <w:rFonts w:ascii="Arial" w:hAnsi="Arial" w:cs="Arial"/>
          <w:b/>
        </w:rPr>
        <w:t xml:space="preserve">Ambroziak U </w:t>
      </w:r>
      <w:r w:rsidRPr="004311BC">
        <w:rPr>
          <w:rFonts w:ascii="Arial" w:hAnsi="Arial" w:cs="Arial"/>
        </w:rPr>
        <w:t>(autor korespondencyjny)</w:t>
      </w:r>
      <w:r w:rsidRPr="004311BC">
        <w:rPr>
          <w:rFonts w:ascii="Arial" w:hAnsi="Arial" w:cs="Arial"/>
          <w:b/>
        </w:rPr>
        <w:t>.</w:t>
      </w:r>
      <w:r w:rsidRPr="004311BC">
        <w:rPr>
          <w:rFonts w:ascii="Arial" w:hAnsi="Arial" w:cs="Arial"/>
          <w:bCs/>
          <w:color w:val="000000"/>
          <w:shd w:val="clear" w:color="auto" w:fill="FFFFFF"/>
        </w:rPr>
        <w:t xml:space="preserve"> </w:t>
      </w:r>
      <w:r w:rsidRPr="004311BC">
        <w:rPr>
          <w:rFonts w:ascii="Arial" w:hAnsi="Arial" w:cs="Arial"/>
          <w:bCs/>
          <w:color w:val="000000"/>
          <w:shd w:val="clear" w:color="auto" w:fill="FFFFFF"/>
          <w:lang w:val="en-US"/>
        </w:rPr>
        <w:t xml:space="preserve">Predictive value of </w:t>
      </w:r>
      <w:proofErr w:type="spellStart"/>
      <w:r w:rsidRPr="004311BC">
        <w:rPr>
          <w:rFonts w:ascii="Arial" w:hAnsi="Arial" w:cs="Arial"/>
          <w:bCs/>
          <w:color w:val="000000"/>
          <w:shd w:val="clear" w:color="auto" w:fill="FFFFFF"/>
          <w:lang w:val="en-US"/>
        </w:rPr>
        <w:t>chromogranin</w:t>
      </w:r>
      <w:proofErr w:type="spellEnd"/>
      <w:r w:rsidRPr="004311BC">
        <w:rPr>
          <w:rFonts w:ascii="Arial" w:hAnsi="Arial" w:cs="Arial"/>
          <w:bCs/>
          <w:color w:val="000000"/>
          <w:shd w:val="clear" w:color="auto" w:fill="FFFFFF"/>
          <w:lang w:val="en-US"/>
        </w:rPr>
        <w:t xml:space="preserve"> A in a diagnosis towards</w:t>
      </w:r>
      <w:r w:rsidRPr="004311BC">
        <w:rPr>
          <w:rFonts w:ascii="Arial" w:hAnsi="Arial" w:cs="Arial"/>
          <w:lang w:val="en-US"/>
        </w:rPr>
        <w:t xml:space="preserve">. </w:t>
      </w:r>
      <w:proofErr w:type="spellStart"/>
      <w:r w:rsidRPr="004311BC">
        <w:rPr>
          <w:rFonts w:ascii="Arial" w:hAnsi="Arial" w:cs="Arial"/>
          <w:bCs/>
          <w:color w:val="000000"/>
          <w:shd w:val="clear" w:color="auto" w:fill="FFFFFF"/>
          <w:lang w:val="en-US"/>
        </w:rPr>
        <w:t>pheochromocytoma</w:t>
      </w:r>
      <w:proofErr w:type="spellEnd"/>
      <w:r w:rsidRPr="004311BC">
        <w:rPr>
          <w:rFonts w:ascii="Arial" w:hAnsi="Arial" w:cs="Arial"/>
          <w:bCs/>
          <w:color w:val="000000"/>
          <w:shd w:val="clear" w:color="auto" w:fill="FFFFFF"/>
          <w:lang w:val="en-US"/>
        </w:rPr>
        <w:t xml:space="preserve"> in adrenal </w:t>
      </w:r>
      <w:proofErr w:type="spellStart"/>
      <w:r w:rsidRPr="004311BC">
        <w:rPr>
          <w:rFonts w:ascii="Arial" w:hAnsi="Arial" w:cs="Arial"/>
          <w:bCs/>
          <w:color w:val="000000"/>
          <w:shd w:val="clear" w:color="auto" w:fill="FFFFFF"/>
          <w:lang w:val="en-US"/>
        </w:rPr>
        <w:t>incidentaloma</w:t>
      </w:r>
      <w:proofErr w:type="spellEnd"/>
      <w:r w:rsidRPr="004311BC">
        <w:rPr>
          <w:rFonts w:ascii="Arial" w:hAnsi="Arial" w:cs="Arial"/>
          <w:bCs/>
          <w:color w:val="000000"/>
          <w:shd w:val="clear" w:color="auto" w:fill="FFFFFF"/>
          <w:lang w:val="en-US"/>
        </w:rPr>
        <w:t xml:space="preserve">. </w:t>
      </w:r>
      <w:r w:rsidRPr="004311BC">
        <w:rPr>
          <w:rFonts w:ascii="Arial" w:hAnsi="Arial" w:cs="Arial"/>
        </w:rPr>
        <w:t>Acta Endo (Buc) 2016 12(4): 437-442</w:t>
      </w:r>
      <w:r w:rsidR="00514433">
        <w:rPr>
          <w:rFonts w:ascii="Arial" w:hAnsi="Arial" w:cs="Arial"/>
        </w:rPr>
        <w:t>.</w:t>
      </w:r>
      <w:r w:rsidRPr="004311BC">
        <w:rPr>
          <w:rFonts w:ascii="Arial" w:hAnsi="Arial" w:cs="Arial"/>
        </w:rPr>
        <w:t xml:space="preserve"> </w:t>
      </w:r>
      <w:r w:rsidRPr="00223222">
        <w:rPr>
          <w:rFonts w:ascii="Arial" w:hAnsi="Arial" w:cs="Arial"/>
          <w:b/>
          <w:bCs/>
          <w:shd w:val="clear" w:color="auto" w:fill="FFFFFF"/>
        </w:rPr>
        <w:t>IF 0,250</w:t>
      </w:r>
    </w:p>
    <w:p w:rsidR="00C9478E" w:rsidRDefault="00C9478E" w:rsidP="00223222">
      <w:pPr>
        <w:pStyle w:val="Akapitzlist"/>
        <w:spacing w:line="240" w:lineRule="auto"/>
        <w:ind w:left="708"/>
        <w:rPr>
          <w:rFonts w:ascii="Arial" w:hAnsi="Arial" w:cs="Arial"/>
          <w:b/>
          <w:bCs/>
          <w:shd w:val="clear" w:color="auto" w:fill="FFFFFF"/>
        </w:rPr>
      </w:pPr>
      <w:proofErr w:type="spellStart"/>
      <w:r>
        <w:rPr>
          <w:rFonts w:ascii="Arial" w:hAnsi="Arial" w:cs="Arial"/>
          <w:b/>
          <w:bCs/>
          <w:shd w:val="clear" w:color="auto" w:fill="FFFFFF"/>
        </w:rPr>
        <w:t>MNiSW</w:t>
      </w:r>
      <w:proofErr w:type="spellEnd"/>
      <w:r>
        <w:rPr>
          <w:rFonts w:ascii="Arial" w:hAnsi="Arial" w:cs="Arial"/>
          <w:b/>
          <w:bCs/>
          <w:shd w:val="clear" w:color="auto" w:fill="FFFFFF"/>
        </w:rPr>
        <w:t xml:space="preserve"> 15</w:t>
      </w:r>
    </w:p>
    <w:p w:rsidR="00B71F50" w:rsidRDefault="00B71F50" w:rsidP="00B71F50">
      <w:pPr>
        <w:ind w:left="709"/>
        <w:rPr>
          <w:rFonts w:ascii="Arial" w:hAnsi="Arial" w:cs="Arial"/>
        </w:rPr>
      </w:pPr>
      <w:r>
        <w:rPr>
          <w:rFonts w:ascii="Arial" w:hAnsi="Arial" w:cs="Arial"/>
        </w:rPr>
        <w:t xml:space="preserve">Mój wkład w przygotowanie tej pracy polegał na przygotowaniu projektu pracy, ustaleniu badanej grupy, analizie  uzyskanych wyników badań, pomocy w  przy przygotowaniu wstępnych wersji wszystkich rozdziałów manuskryptu oraz przygotowaniu ostatecznej wersji manuskryptu. Mój udział procentowy szacuję na  45%.     </w:t>
      </w:r>
    </w:p>
    <w:p w:rsidR="00B71F50" w:rsidRDefault="00B71F50" w:rsidP="00C9478E">
      <w:pPr>
        <w:pStyle w:val="Akapitzlist"/>
        <w:rPr>
          <w:rFonts w:ascii="Arial" w:hAnsi="Arial" w:cs="Arial"/>
          <w:bCs/>
          <w:highlight w:val="yellow"/>
          <w:shd w:val="clear" w:color="auto" w:fill="FFFFFF"/>
        </w:rPr>
      </w:pPr>
    </w:p>
    <w:p w:rsidR="00C9478E" w:rsidRPr="003E369D" w:rsidRDefault="00C9478E" w:rsidP="00C9478E">
      <w:pPr>
        <w:pStyle w:val="Akapitzlist"/>
        <w:rPr>
          <w:rFonts w:ascii="Arial" w:hAnsi="Arial" w:cs="Arial"/>
          <w:b/>
          <w:bCs/>
          <w:shd w:val="clear" w:color="auto" w:fill="FFFFFF"/>
        </w:rPr>
      </w:pPr>
    </w:p>
    <w:p w:rsidR="00223222" w:rsidRPr="00223222" w:rsidRDefault="007D6678" w:rsidP="00223222">
      <w:pPr>
        <w:pStyle w:val="Akapitzlist"/>
        <w:numPr>
          <w:ilvl w:val="0"/>
          <w:numId w:val="7"/>
        </w:numPr>
        <w:rPr>
          <w:rFonts w:ascii="Arial" w:hAnsi="Arial" w:cs="Arial"/>
          <w:b/>
          <w:bCs/>
          <w:shd w:val="clear" w:color="auto" w:fill="FFFFFF"/>
        </w:rPr>
      </w:pPr>
      <w:proofErr w:type="spellStart"/>
      <w:r w:rsidRPr="004311BC">
        <w:rPr>
          <w:rFonts w:ascii="Arial" w:hAnsi="Arial" w:cs="Arial"/>
          <w:b/>
          <w:bCs/>
          <w:shd w:val="clear" w:color="auto" w:fill="FFFFFF"/>
          <w:lang w:val="en-US"/>
        </w:rPr>
        <w:t>Ambroziak</w:t>
      </w:r>
      <w:proofErr w:type="spellEnd"/>
      <w:r w:rsidRPr="004311BC">
        <w:rPr>
          <w:rFonts w:ascii="Arial" w:hAnsi="Arial" w:cs="Arial"/>
          <w:b/>
          <w:bCs/>
          <w:shd w:val="clear" w:color="auto" w:fill="FFFFFF"/>
          <w:lang w:val="en-US"/>
        </w:rPr>
        <w:t xml:space="preserve"> U, </w:t>
      </w:r>
      <w:proofErr w:type="spellStart"/>
      <w:r w:rsidRPr="004311BC">
        <w:rPr>
          <w:rFonts w:ascii="Arial" w:hAnsi="Arial" w:cs="Arial"/>
          <w:lang w:val="en-US"/>
        </w:rPr>
        <w:t>Kuryłowicz</w:t>
      </w:r>
      <w:proofErr w:type="spellEnd"/>
      <w:r w:rsidRPr="004311BC">
        <w:rPr>
          <w:rFonts w:ascii="Arial" w:hAnsi="Arial" w:cs="Arial"/>
          <w:lang w:val="en-US"/>
        </w:rPr>
        <w:t xml:space="preserve"> A, </w:t>
      </w:r>
      <w:proofErr w:type="spellStart"/>
      <w:r w:rsidRPr="004311BC">
        <w:rPr>
          <w:rFonts w:ascii="Arial" w:hAnsi="Arial" w:cs="Arial"/>
          <w:lang w:val="en-US"/>
        </w:rPr>
        <w:t>Kępczyńska-Nyk</w:t>
      </w:r>
      <w:proofErr w:type="spellEnd"/>
      <w:r w:rsidRPr="004311BC">
        <w:rPr>
          <w:rFonts w:ascii="Arial" w:hAnsi="Arial" w:cs="Arial"/>
          <w:lang w:val="en-US"/>
        </w:rPr>
        <w:t xml:space="preserve"> A, </w:t>
      </w:r>
      <w:proofErr w:type="spellStart"/>
      <w:r w:rsidRPr="004311BC">
        <w:rPr>
          <w:rFonts w:ascii="Arial" w:hAnsi="Arial" w:cs="Arial"/>
          <w:lang w:val="en-US"/>
        </w:rPr>
        <w:t>Kondracka</w:t>
      </w:r>
      <w:proofErr w:type="spellEnd"/>
      <w:r w:rsidRPr="004311BC">
        <w:rPr>
          <w:rFonts w:ascii="Arial" w:hAnsi="Arial" w:cs="Arial"/>
          <w:lang w:val="en-US"/>
        </w:rPr>
        <w:t xml:space="preserve"> A, </w:t>
      </w:r>
      <w:proofErr w:type="spellStart"/>
      <w:r w:rsidRPr="004311BC">
        <w:rPr>
          <w:rFonts w:ascii="Arial" w:hAnsi="Arial" w:cs="Arial"/>
          <w:lang w:val="en-US"/>
        </w:rPr>
        <w:t>Gajda</w:t>
      </w:r>
      <w:proofErr w:type="spellEnd"/>
      <w:r w:rsidRPr="004311BC">
        <w:rPr>
          <w:rFonts w:ascii="Arial" w:hAnsi="Arial" w:cs="Arial"/>
          <w:lang w:val="en-US"/>
        </w:rPr>
        <w:t xml:space="preserve"> S, </w:t>
      </w:r>
      <w:proofErr w:type="spellStart"/>
      <w:r w:rsidRPr="004311BC">
        <w:rPr>
          <w:rFonts w:ascii="Arial" w:hAnsi="Arial" w:cs="Arial"/>
          <w:lang w:val="en-US"/>
        </w:rPr>
        <w:t>Sieńko</w:t>
      </w:r>
      <w:proofErr w:type="spellEnd"/>
      <w:r w:rsidRPr="004311BC">
        <w:rPr>
          <w:rFonts w:ascii="Arial" w:hAnsi="Arial" w:cs="Arial"/>
          <w:lang w:val="en-US"/>
        </w:rPr>
        <w:t xml:space="preserve"> D. Salivary testosterone may not serve as a screening test in the diagnosis of biochemical </w:t>
      </w:r>
      <w:proofErr w:type="spellStart"/>
      <w:r w:rsidRPr="004311BC">
        <w:rPr>
          <w:rFonts w:ascii="Arial" w:hAnsi="Arial" w:cs="Arial"/>
          <w:lang w:val="en-US"/>
        </w:rPr>
        <w:t>hyperandrogenism</w:t>
      </w:r>
      <w:proofErr w:type="spellEnd"/>
      <w:r w:rsidRPr="004311BC">
        <w:rPr>
          <w:rFonts w:ascii="Arial" w:hAnsi="Arial" w:cs="Arial"/>
          <w:lang w:val="en-US"/>
        </w:rPr>
        <w:t xml:space="preserve">. J </w:t>
      </w:r>
      <w:proofErr w:type="spellStart"/>
      <w:r w:rsidRPr="004311BC">
        <w:rPr>
          <w:rFonts w:ascii="Arial" w:hAnsi="Arial" w:cs="Arial"/>
          <w:lang w:val="en-US"/>
        </w:rPr>
        <w:t>Obstet</w:t>
      </w:r>
      <w:proofErr w:type="spellEnd"/>
      <w:r w:rsidRPr="004311BC">
        <w:rPr>
          <w:rFonts w:ascii="Arial" w:hAnsi="Arial" w:cs="Arial"/>
          <w:lang w:val="en-US"/>
        </w:rPr>
        <w:t xml:space="preserve"> </w:t>
      </w:r>
      <w:proofErr w:type="spellStart"/>
      <w:r w:rsidRPr="004311BC">
        <w:rPr>
          <w:rFonts w:ascii="Arial" w:hAnsi="Arial" w:cs="Arial"/>
          <w:lang w:val="en-US"/>
        </w:rPr>
        <w:t>Gynecol</w:t>
      </w:r>
      <w:proofErr w:type="spellEnd"/>
      <w:r w:rsidRPr="004311BC">
        <w:rPr>
          <w:rFonts w:ascii="Arial" w:hAnsi="Arial" w:cs="Arial"/>
          <w:lang w:val="en-US"/>
        </w:rPr>
        <w:t xml:space="preserve"> Res 2018. </w:t>
      </w:r>
      <w:r w:rsidR="001674D2" w:rsidRPr="005A65C1">
        <w:rPr>
          <w:rFonts w:ascii="Arial" w:hAnsi="Arial" w:cs="Arial"/>
          <w:lang w:val="en-US"/>
        </w:rPr>
        <w:t>doi:10.1111/jog.13628</w:t>
      </w:r>
    </w:p>
    <w:p w:rsidR="00223222" w:rsidRDefault="00323B5D" w:rsidP="00223222">
      <w:pPr>
        <w:pStyle w:val="Akapitzlist"/>
        <w:rPr>
          <w:rFonts w:ascii="Arial" w:hAnsi="Arial" w:cs="Arial"/>
          <w:b/>
          <w:bCs/>
          <w:shd w:val="clear" w:color="auto" w:fill="FFFFFF"/>
        </w:rPr>
      </w:pPr>
      <w:r w:rsidRPr="00223222">
        <w:rPr>
          <w:rFonts w:ascii="Arial" w:hAnsi="Arial" w:cs="Arial"/>
          <w:b/>
          <w:bCs/>
          <w:shd w:val="clear" w:color="auto" w:fill="FFFFFF"/>
        </w:rPr>
        <w:t>IF</w:t>
      </w:r>
      <w:r w:rsidR="00DC1C55" w:rsidRPr="00223222">
        <w:rPr>
          <w:rFonts w:ascii="Arial" w:hAnsi="Arial" w:cs="Arial"/>
          <w:b/>
          <w:bCs/>
          <w:shd w:val="clear" w:color="auto" w:fill="FFFFFF"/>
        </w:rPr>
        <w:t xml:space="preserve"> 1,099</w:t>
      </w:r>
    </w:p>
    <w:p w:rsidR="00DC22E8" w:rsidRPr="00223222" w:rsidRDefault="00323B5D" w:rsidP="00223222">
      <w:pPr>
        <w:pStyle w:val="Akapitzlist"/>
        <w:rPr>
          <w:rFonts w:ascii="Arial" w:hAnsi="Arial" w:cs="Arial"/>
          <w:b/>
          <w:bCs/>
          <w:shd w:val="clear" w:color="auto" w:fill="FFFFFF"/>
        </w:rPr>
      </w:pPr>
      <w:proofErr w:type="spellStart"/>
      <w:r w:rsidRPr="00223222">
        <w:rPr>
          <w:rFonts w:ascii="Arial" w:hAnsi="Arial" w:cs="Arial"/>
          <w:b/>
          <w:bCs/>
          <w:shd w:val="clear" w:color="auto" w:fill="FFFFFF"/>
        </w:rPr>
        <w:t>MNiSW</w:t>
      </w:r>
      <w:proofErr w:type="spellEnd"/>
      <w:r w:rsidR="00DC1C55" w:rsidRPr="00223222">
        <w:rPr>
          <w:rFonts w:ascii="Arial" w:hAnsi="Arial" w:cs="Arial"/>
          <w:b/>
          <w:bCs/>
          <w:shd w:val="clear" w:color="auto" w:fill="FFFFFF"/>
        </w:rPr>
        <w:t xml:space="preserve"> 15</w:t>
      </w:r>
    </w:p>
    <w:p w:rsidR="00DE21DE" w:rsidRDefault="00DE21DE" w:rsidP="00F0228B">
      <w:pPr>
        <w:pStyle w:val="Akapitzlist"/>
        <w:rPr>
          <w:rFonts w:ascii="Arial" w:hAnsi="Arial" w:cs="Arial"/>
          <w:b/>
          <w:bCs/>
          <w:shd w:val="clear" w:color="auto" w:fill="FFFFFF"/>
        </w:rPr>
      </w:pPr>
    </w:p>
    <w:p w:rsidR="004311BC" w:rsidRDefault="004311BC" w:rsidP="00F0228B">
      <w:pPr>
        <w:pStyle w:val="Akapitzlist"/>
        <w:rPr>
          <w:rFonts w:ascii="Arial" w:hAnsi="Arial" w:cs="Arial"/>
          <w:bCs/>
          <w:highlight w:val="yellow"/>
          <w:shd w:val="clear" w:color="auto" w:fill="FFFFFF"/>
        </w:rPr>
      </w:pPr>
      <w:r>
        <w:rPr>
          <w:rFonts w:ascii="Arial" w:hAnsi="Arial" w:cs="Arial"/>
        </w:rPr>
        <w:t xml:space="preserve">Mój wkład w przygotowanie tej pracy polegał na zaplanowaniu badania, częściowym zebraniu badanych  grup, ich charakterystyce, analizie  uzyskanych wyników, pomocy przy przygotowaniu wstępnych wersji wszystkich rozdziałów manuskryptu oraz przygotowaniu ostatecznej wersji manuskryptu. Mój udział procentowy szacuję na  60%.     </w:t>
      </w:r>
    </w:p>
    <w:p w:rsidR="00C9478E" w:rsidRPr="00C9478E" w:rsidRDefault="00C9478E" w:rsidP="00C9478E">
      <w:pPr>
        <w:rPr>
          <w:rFonts w:ascii="Arial" w:hAnsi="Arial" w:cs="Arial"/>
          <w:b/>
          <w:bCs/>
          <w:shd w:val="clear" w:color="auto" w:fill="FFFFFF"/>
        </w:rPr>
      </w:pPr>
    </w:p>
    <w:p w:rsidR="005B096E" w:rsidRPr="00396EDB" w:rsidRDefault="005B096E" w:rsidP="00396EDB">
      <w:pPr>
        <w:ind w:left="360"/>
        <w:rPr>
          <w:rFonts w:ascii="Arial" w:hAnsi="Arial" w:cs="Arial"/>
          <w:b/>
          <w:bCs/>
          <w:shd w:val="clear" w:color="auto" w:fill="FFFFFF"/>
        </w:rPr>
      </w:pPr>
      <w:r w:rsidRPr="00C9478E">
        <w:rPr>
          <w:rFonts w:ascii="Arial" w:hAnsi="Arial" w:cs="Arial"/>
          <w:b/>
          <w:bCs/>
          <w:shd w:val="clear" w:color="auto" w:fill="FFFFFF"/>
        </w:rPr>
        <w:t>Sumaryczny wynik z cyklu prac stanowiących osiągnięcie naukowe</w:t>
      </w:r>
    </w:p>
    <w:p w:rsidR="005B096E" w:rsidRPr="005B096E" w:rsidRDefault="005B096E" w:rsidP="00547099">
      <w:pPr>
        <w:pStyle w:val="Akapitzlist"/>
        <w:spacing w:line="360" w:lineRule="auto"/>
        <w:rPr>
          <w:rFonts w:ascii="Arial" w:hAnsi="Arial" w:cs="Arial"/>
          <w:b/>
          <w:bCs/>
          <w:shd w:val="clear" w:color="auto" w:fill="FFFFFF"/>
        </w:rPr>
      </w:pPr>
      <w:r w:rsidRPr="005B096E">
        <w:rPr>
          <w:rFonts w:ascii="Arial" w:hAnsi="Arial" w:cs="Arial"/>
          <w:b/>
          <w:bCs/>
          <w:shd w:val="clear" w:color="auto" w:fill="FFFFFF"/>
        </w:rPr>
        <w:t>IF- 9,576</w:t>
      </w:r>
    </w:p>
    <w:p w:rsidR="00223222" w:rsidRPr="00B37853" w:rsidRDefault="005B096E" w:rsidP="00396EDB">
      <w:pPr>
        <w:pStyle w:val="Akapitzlist"/>
        <w:spacing w:line="360" w:lineRule="auto"/>
        <w:rPr>
          <w:rFonts w:ascii="Arial" w:hAnsi="Arial" w:cs="Arial"/>
          <w:b/>
          <w:bCs/>
          <w:shd w:val="clear" w:color="auto" w:fill="FFFFFF"/>
        </w:rPr>
      </w:pPr>
      <w:r w:rsidRPr="005B096E">
        <w:rPr>
          <w:rFonts w:ascii="Arial" w:hAnsi="Arial" w:cs="Arial"/>
          <w:b/>
          <w:bCs/>
          <w:shd w:val="clear" w:color="auto" w:fill="FFFFFF"/>
        </w:rPr>
        <w:t>MNiSW-1</w:t>
      </w:r>
      <w:r w:rsidR="00C9478E">
        <w:rPr>
          <w:rFonts w:ascii="Arial" w:hAnsi="Arial" w:cs="Arial"/>
          <w:b/>
          <w:bCs/>
          <w:shd w:val="clear" w:color="auto" w:fill="FFFFFF"/>
        </w:rPr>
        <w:t>05</w:t>
      </w:r>
      <w:r w:rsidRPr="005B096E">
        <w:rPr>
          <w:rFonts w:ascii="Arial" w:hAnsi="Arial" w:cs="Arial"/>
          <w:b/>
          <w:bCs/>
          <w:shd w:val="clear" w:color="auto" w:fill="FFFFFF"/>
        </w:rPr>
        <w:t xml:space="preserve">  </w:t>
      </w:r>
    </w:p>
    <w:p w:rsidR="00B37853" w:rsidRPr="00DC22E8" w:rsidRDefault="00DC22E8" w:rsidP="00B37853">
      <w:pPr>
        <w:rPr>
          <w:rFonts w:ascii="Arial" w:hAnsi="Arial" w:cs="Arial"/>
          <w:bCs/>
          <w:i/>
          <w:shd w:val="clear" w:color="auto" w:fill="FFFFFF"/>
        </w:rPr>
      </w:pPr>
      <w:r w:rsidRPr="00DC22E8">
        <w:rPr>
          <w:rFonts w:ascii="Arial" w:hAnsi="Arial" w:cs="Arial"/>
          <w:i/>
        </w:rPr>
        <w:t>c) omówienie celu naukowego i osiągniętych wyników wraz z omówieniem ich ewentualnego wykorzystania:</w:t>
      </w:r>
    </w:p>
    <w:p w:rsidR="005B52FC" w:rsidRDefault="005B52FC" w:rsidP="005B52FC">
      <w:pPr>
        <w:spacing w:line="360" w:lineRule="auto"/>
        <w:ind w:firstLine="708"/>
        <w:jc w:val="both"/>
        <w:rPr>
          <w:rFonts w:ascii="Arial" w:hAnsi="Arial" w:cs="Arial"/>
          <w:bCs/>
          <w:shd w:val="clear" w:color="auto" w:fill="FFFFFF"/>
        </w:rPr>
      </w:pPr>
      <w:r>
        <w:rPr>
          <w:rFonts w:ascii="Arial" w:hAnsi="Arial" w:cs="Arial"/>
          <w:bCs/>
          <w:shd w:val="clear" w:color="auto" w:fill="FFFFFF"/>
        </w:rPr>
        <w:t xml:space="preserve">Moim celem naukowym była i jest nadal optymalizacja diagnostyki </w:t>
      </w:r>
      <w:r w:rsidR="001674D2">
        <w:rPr>
          <w:rFonts w:ascii="Arial" w:hAnsi="Arial" w:cs="Arial"/>
          <w:bCs/>
          <w:shd w:val="clear" w:color="auto" w:fill="FFFFFF"/>
        </w:rPr>
        <w:t xml:space="preserve">hormonalnej i </w:t>
      </w:r>
      <w:r>
        <w:rPr>
          <w:rFonts w:ascii="Arial" w:hAnsi="Arial" w:cs="Arial"/>
          <w:bCs/>
          <w:shd w:val="clear" w:color="auto" w:fill="FFFFFF"/>
        </w:rPr>
        <w:t xml:space="preserve">biochemicznej chorób nadnerczy i gonad w celu uniknięcia nieprawidłowych rozpoznań skutkujących </w:t>
      </w:r>
      <w:r w:rsidR="004311BC">
        <w:rPr>
          <w:rFonts w:ascii="Arial" w:hAnsi="Arial" w:cs="Arial"/>
          <w:bCs/>
          <w:shd w:val="clear" w:color="auto" w:fill="FFFFFF"/>
        </w:rPr>
        <w:t xml:space="preserve">niewłaściwym lub </w:t>
      </w:r>
      <w:r>
        <w:rPr>
          <w:rFonts w:ascii="Arial" w:hAnsi="Arial" w:cs="Arial"/>
          <w:bCs/>
          <w:shd w:val="clear" w:color="auto" w:fill="FFFFFF"/>
        </w:rPr>
        <w:t xml:space="preserve">niepotrzebnym leczeniem, niepokojem pacjentów </w:t>
      </w:r>
      <w:r w:rsidR="004311BC">
        <w:rPr>
          <w:rFonts w:ascii="Arial" w:hAnsi="Arial" w:cs="Arial"/>
          <w:bCs/>
          <w:shd w:val="clear" w:color="auto" w:fill="FFFFFF"/>
        </w:rPr>
        <w:t>i</w:t>
      </w:r>
      <w:r>
        <w:rPr>
          <w:rFonts w:ascii="Arial" w:hAnsi="Arial" w:cs="Arial"/>
          <w:bCs/>
          <w:shd w:val="clear" w:color="auto" w:fill="FFFFFF"/>
        </w:rPr>
        <w:t xml:space="preserve"> nawet zagrożeniem ich zdrowia i życia.     </w:t>
      </w:r>
    </w:p>
    <w:p w:rsidR="00BA4C88" w:rsidRDefault="00CC177F" w:rsidP="009620E1">
      <w:pPr>
        <w:spacing w:line="360" w:lineRule="auto"/>
        <w:ind w:firstLine="708"/>
        <w:jc w:val="both"/>
        <w:rPr>
          <w:rFonts w:ascii="Arial" w:hAnsi="Arial" w:cs="Arial"/>
          <w:bCs/>
          <w:shd w:val="clear" w:color="auto" w:fill="FFFFFF"/>
        </w:rPr>
      </w:pPr>
      <w:r>
        <w:rPr>
          <w:rFonts w:ascii="Arial" w:hAnsi="Arial" w:cs="Arial"/>
          <w:bCs/>
          <w:shd w:val="clear" w:color="auto" w:fill="FFFFFF"/>
        </w:rPr>
        <w:t xml:space="preserve">Diagnostyka </w:t>
      </w:r>
      <w:r w:rsidR="00033EB4">
        <w:rPr>
          <w:rFonts w:ascii="Arial" w:hAnsi="Arial" w:cs="Arial"/>
          <w:bCs/>
          <w:shd w:val="clear" w:color="auto" w:fill="FFFFFF"/>
        </w:rPr>
        <w:t xml:space="preserve">chorób nadnerczy i gonad </w:t>
      </w:r>
      <w:r>
        <w:rPr>
          <w:rFonts w:ascii="Arial" w:hAnsi="Arial" w:cs="Arial"/>
          <w:bCs/>
          <w:shd w:val="clear" w:color="auto" w:fill="FFFFFF"/>
        </w:rPr>
        <w:t xml:space="preserve">opiera się na badaniu klinicznym, badaniach obrazowych i </w:t>
      </w:r>
      <w:r w:rsidR="004D0720">
        <w:rPr>
          <w:rFonts w:ascii="Arial" w:hAnsi="Arial" w:cs="Arial"/>
          <w:bCs/>
          <w:shd w:val="clear" w:color="auto" w:fill="FFFFFF"/>
        </w:rPr>
        <w:t xml:space="preserve">przede wszystkim </w:t>
      </w:r>
      <w:r>
        <w:rPr>
          <w:rFonts w:ascii="Arial" w:hAnsi="Arial" w:cs="Arial"/>
          <w:bCs/>
          <w:shd w:val="clear" w:color="auto" w:fill="FFFFFF"/>
        </w:rPr>
        <w:t xml:space="preserve">ocenie </w:t>
      </w:r>
      <w:r w:rsidR="004D0720">
        <w:rPr>
          <w:rFonts w:ascii="Arial" w:hAnsi="Arial" w:cs="Arial"/>
          <w:bCs/>
          <w:shd w:val="clear" w:color="auto" w:fill="FFFFFF"/>
        </w:rPr>
        <w:t>hormonalnej</w:t>
      </w:r>
      <w:r>
        <w:rPr>
          <w:rFonts w:ascii="Arial" w:hAnsi="Arial" w:cs="Arial"/>
          <w:bCs/>
          <w:shd w:val="clear" w:color="auto" w:fill="FFFFFF"/>
        </w:rPr>
        <w:t xml:space="preserve">. </w:t>
      </w:r>
      <w:r w:rsidR="00B11071">
        <w:rPr>
          <w:rFonts w:ascii="Arial" w:hAnsi="Arial" w:cs="Arial"/>
          <w:bCs/>
          <w:shd w:val="clear" w:color="auto" w:fill="FFFFFF"/>
        </w:rPr>
        <w:t xml:space="preserve">Do niedawna do </w:t>
      </w:r>
      <w:r w:rsidR="00714017">
        <w:rPr>
          <w:rFonts w:ascii="Arial" w:hAnsi="Arial" w:cs="Arial"/>
          <w:bCs/>
          <w:shd w:val="clear" w:color="auto" w:fill="FFFFFF"/>
        </w:rPr>
        <w:t>pomiarów</w:t>
      </w:r>
      <w:r w:rsidR="00B11071">
        <w:rPr>
          <w:rFonts w:ascii="Arial" w:hAnsi="Arial" w:cs="Arial"/>
          <w:bCs/>
          <w:shd w:val="clear" w:color="auto" w:fill="FFFFFF"/>
        </w:rPr>
        <w:t xml:space="preserve"> </w:t>
      </w:r>
      <w:r w:rsidR="0055130E">
        <w:rPr>
          <w:rFonts w:ascii="Arial" w:hAnsi="Arial" w:cs="Arial"/>
          <w:bCs/>
          <w:shd w:val="clear" w:color="auto" w:fill="FFFFFF"/>
        </w:rPr>
        <w:t xml:space="preserve">stężeń </w:t>
      </w:r>
      <w:r w:rsidR="00B11071">
        <w:rPr>
          <w:rFonts w:ascii="Arial" w:hAnsi="Arial" w:cs="Arial"/>
          <w:bCs/>
          <w:shd w:val="clear" w:color="auto" w:fill="FFFFFF"/>
        </w:rPr>
        <w:t>hormonów steroidowych</w:t>
      </w:r>
      <w:r w:rsidR="00714017">
        <w:rPr>
          <w:rFonts w:ascii="Arial" w:hAnsi="Arial" w:cs="Arial"/>
          <w:bCs/>
          <w:shd w:val="clear" w:color="auto" w:fill="FFFFFF"/>
        </w:rPr>
        <w:t xml:space="preserve"> wykorzystywano głównie </w:t>
      </w:r>
      <w:r w:rsidR="00B11071">
        <w:rPr>
          <w:rFonts w:ascii="Arial" w:hAnsi="Arial" w:cs="Arial"/>
          <w:bCs/>
          <w:shd w:val="clear" w:color="auto" w:fill="FFFFFF"/>
        </w:rPr>
        <w:t>testy immunoenzymatyczne</w:t>
      </w:r>
      <w:r w:rsidR="00BA4C88">
        <w:rPr>
          <w:rFonts w:ascii="Arial" w:hAnsi="Arial" w:cs="Arial"/>
          <w:bCs/>
          <w:shd w:val="clear" w:color="auto" w:fill="FFFFFF"/>
        </w:rPr>
        <w:t xml:space="preserve">, które jednak ze względu na dużą ilość krzyżowych reakcji nie </w:t>
      </w:r>
      <w:r w:rsidR="00910D24">
        <w:rPr>
          <w:rFonts w:ascii="Arial" w:hAnsi="Arial" w:cs="Arial"/>
          <w:bCs/>
          <w:shd w:val="clear" w:color="auto" w:fill="FFFFFF"/>
        </w:rPr>
        <w:t>charakteryzują się dobrą</w:t>
      </w:r>
      <w:r w:rsidR="00BA4C88">
        <w:rPr>
          <w:rFonts w:ascii="Arial" w:hAnsi="Arial" w:cs="Arial"/>
          <w:bCs/>
          <w:shd w:val="clear" w:color="auto" w:fill="FFFFFF"/>
        </w:rPr>
        <w:t xml:space="preserve"> precyzj</w:t>
      </w:r>
      <w:r w:rsidR="00910D24">
        <w:rPr>
          <w:rFonts w:ascii="Arial" w:hAnsi="Arial" w:cs="Arial"/>
          <w:bCs/>
          <w:shd w:val="clear" w:color="auto" w:fill="FFFFFF"/>
        </w:rPr>
        <w:t>ą</w:t>
      </w:r>
      <w:r w:rsidR="00BA4C88">
        <w:rPr>
          <w:rFonts w:ascii="Arial" w:hAnsi="Arial" w:cs="Arial"/>
          <w:bCs/>
          <w:shd w:val="clear" w:color="auto" w:fill="FFFFFF"/>
        </w:rPr>
        <w:t xml:space="preserve">. Wdrożenie do diagnostyki biochemicznej metod opartych na </w:t>
      </w:r>
      <w:r w:rsidR="00184481">
        <w:rPr>
          <w:rFonts w:ascii="Arial" w:hAnsi="Arial" w:cs="Arial"/>
          <w:bCs/>
          <w:shd w:val="clear" w:color="auto" w:fill="FFFFFF"/>
        </w:rPr>
        <w:t xml:space="preserve">chromatografii cieczowej połączonej ze </w:t>
      </w:r>
      <w:r w:rsidR="00BA4C88">
        <w:rPr>
          <w:rFonts w:ascii="Arial" w:hAnsi="Arial" w:cs="Arial"/>
          <w:bCs/>
          <w:shd w:val="clear" w:color="auto" w:fill="FFFFFF"/>
        </w:rPr>
        <w:t>spektrometri</w:t>
      </w:r>
      <w:r w:rsidR="00184481">
        <w:rPr>
          <w:rFonts w:ascii="Arial" w:hAnsi="Arial" w:cs="Arial"/>
          <w:bCs/>
          <w:shd w:val="clear" w:color="auto" w:fill="FFFFFF"/>
        </w:rPr>
        <w:t>ą</w:t>
      </w:r>
      <w:r w:rsidR="00BA4C88">
        <w:rPr>
          <w:rFonts w:ascii="Arial" w:hAnsi="Arial" w:cs="Arial"/>
          <w:bCs/>
          <w:shd w:val="clear" w:color="auto" w:fill="FFFFFF"/>
        </w:rPr>
        <w:t xml:space="preserve"> mas pokazało stopień braku </w:t>
      </w:r>
      <w:r w:rsidR="00910D24">
        <w:rPr>
          <w:rFonts w:ascii="Arial" w:hAnsi="Arial" w:cs="Arial"/>
          <w:bCs/>
          <w:shd w:val="clear" w:color="auto" w:fill="FFFFFF"/>
        </w:rPr>
        <w:t xml:space="preserve">odpowiedniej </w:t>
      </w:r>
      <w:r w:rsidR="00BA4C88">
        <w:rPr>
          <w:rFonts w:ascii="Arial" w:hAnsi="Arial" w:cs="Arial"/>
          <w:bCs/>
          <w:shd w:val="clear" w:color="auto" w:fill="FFFFFF"/>
        </w:rPr>
        <w:t xml:space="preserve">precyzji wielu </w:t>
      </w:r>
      <w:r w:rsidR="00714017">
        <w:rPr>
          <w:rFonts w:ascii="Arial" w:hAnsi="Arial" w:cs="Arial"/>
          <w:bCs/>
          <w:shd w:val="clear" w:color="auto" w:fill="FFFFFF"/>
        </w:rPr>
        <w:t>testów</w:t>
      </w:r>
      <w:r w:rsidR="00BA4C88">
        <w:rPr>
          <w:rFonts w:ascii="Arial" w:hAnsi="Arial" w:cs="Arial"/>
          <w:bCs/>
          <w:shd w:val="clear" w:color="auto" w:fill="FFFFFF"/>
        </w:rPr>
        <w:t xml:space="preserve"> immunoenzymatycznych ale także stało się nadzieją na optymaln</w:t>
      </w:r>
      <w:r w:rsidR="00910D24">
        <w:rPr>
          <w:rFonts w:ascii="Arial" w:hAnsi="Arial" w:cs="Arial"/>
          <w:bCs/>
          <w:shd w:val="clear" w:color="auto" w:fill="FFFFFF"/>
        </w:rPr>
        <w:t>ą</w:t>
      </w:r>
      <w:r w:rsidR="00BA4C88">
        <w:rPr>
          <w:rFonts w:ascii="Arial" w:hAnsi="Arial" w:cs="Arial"/>
          <w:bCs/>
          <w:shd w:val="clear" w:color="auto" w:fill="FFFFFF"/>
        </w:rPr>
        <w:t xml:space="preserve"> diagnostykę biochemiczną. </w:t>
      </w:r>
      <w:r w:rsidR="009620E1">
        <w:rPr>
          <w:rFonts w:ascii="Arial" w:hAnsi="Arial" w:cs="Arial"/>
          <w:bCs/>
          <w:shd w:val="clear" w:color="auto" w:fill="FFFFFF"/>
        </w:rPr>
        <w:t xml:space="preserve"> </w:t>
      </w:r>
    </w:p>
    <w:p w:rsidR="00CC177F" w:rsidRDefault="001738BE" w:rsidP="004D0720">
      <w:pPr>
        <w:spacing w:line="360" w:lineRule="auto"/>
        <w:ind w:firstLine="708"/>
        <w:jc w:val="both"/>
        <w:rPr>
          <w:rFonts w:ascii="Arial" w:hAnsi="Arial" w:cs="Arial"/>
          <w:bCs/>
          <w:shd w:val="clear" w:color="auto" w:fill="FFFFFF"/>
        </w:rPr>
      </w:pPr>
      <w:r>
        <w:rPr>
          <w:rFonts w:ascii="Arial" w:hAnsi="Arial" w:cs="Arial"/>
          <w:bCs/>
          <w:shd w:val="clear" w:color="auto" w:fill="FFFFFF"/>
        </w:rPr>
        <w:t xml:space="preserve">Prawidłowa interpretacja wyniku badania biochemicznego wymaga nie tylko użycia testu o najlepszej charakterystyce czułości i swoistości ale także </w:t>
      </w:r>
      <w:r w:rsidR="00C51798">
        <w:rPr>
          <w:rFonts w:ascii="Arial" w:hAnsi="Arial" w:cs="Arial"/>
          <w:bCs/>
          <w:shd w:val="clear" w:color="auto" w:fill="FFFFFF"/>
        </w:rPr>
        <w:t xml:space="preserve">wiedzy o warunkach klinicznych </w:t>
      </w:r>
      <w:r>
        <w:rPr>
          <w:rFonts w:ascii="Arial" w:hAnsi="Arial" w:cs="Arial"/>
          <w:bCs/>
          <w:shd w:val="clear" w:color="auto" w:fill="FFFFFF"/>
        </w:rPr>
        <w:t xml:space="preserve">w jakich badanie jest oceniane. </w:t>
      </w:r>
      <w:r w:rsidR="00F0228B">
        <w:rPr>
          <w:rFonts w:ascii="Arial" w:hAnsi="Arial" w:cs="Arial"/>
          <w:bCs/>
          <w:shd w:val="clear" w:color="auto" w:fill="FFFFFF"/>
        </w:rPr>
        <w:t xml:space="preserve">I tak np.: w ciąży interpretacja badań hormonów nadnerczy i gonad wymaga znajomości fizjologicznych zmian dotyczących zarówno wydzielania hormonów jak i produkcji białek ich wiążących. </w:t>
      </w:r>
      <w:r w:rsidR="00E1334D">
        <w:rPr>
          <w:rFonts w:ascii="Arial" w:hAnsi="Arial" w:cs="Arial"/>
          <w:bCs/>
          <w:shd w:val="clear" w:color="auto" w:fill="FFFFFF"/>
        </w:rPr>
        <w:t>Jedyni</w:t>
      </w:r>
      <w:r w:rsidR="001674D2">
        <w:rPr>
          <w:rFonts w:ascii="Arial" w:hAnsi="Arial" w:cs="Arial"/>
          <w:bCs/>
          <w:shd w:val="clear" w:color="auto" w:fill="FFFFFF"/>
        </w:rPr>
        <w:t>e na początku</w:t>
      </w:r>
      <w:r w:rsidR="00E1334D">
        <w:rPr>
          <w:rFonts w:ascii="Arial" w:hAnsi="Arial" w:cs="Arial"/>
          <w:bCs/>
          <w:shd w:val="clear" w:color="auto" w:fill="FFFFFF"/>
        </w:rPr>
        <w:t xml:space="preserve"> pierwsz</w:t>
      </w:r>
      <w:r w:rsidR="001674D2">
        <w:rPr>
          <w:rFonts w:ascii="Arial" w:hAnsi="Arial" w:cs="Arial"/>
          <w:bCs/>
          <w:shd w:val="clear" w:color="auto" w:fill="FFFFFF"/>
        </w:rPr>
        <w:t>ego trymestru</w:t>
      </w:r>
      <w:r w:rsidR="00E1334D">
        <w:rPr>
          <w:rFonts w:ascii="Arial" w:hAnsi="Arial" w:cs="Arial"/>
          <w:bCs/>
          <w:shd w:val="clear" w:color="auto" w:fill="FFFFFF"/>
        </w:rPr>
        <w:t xml:space="preserve">, zmiany zachodzące w ciąży związane z wydzielaniem hormonów łożyskowych, </w:t>
      </w:r>
      <w:r w:rsidR="00E1334D">
        <w:rPr>
          <w:rFonts w:ascii="Arial" w:hAnsi="Arial" w:cs="Arial"/>
          <w:bCs/>
          <w:shd w:val="clear" w:color="auto" w:fill="FFFFFF"/>
        </w:rPr>
        <w:lastRenderedPageBreak/>
        <w:t xml:space="preserve">zmianą wrażliwości przysadki na działanie hormonów oraz zwiększoną produkcją białek wiążących hormony steroidowe </w:t>
      </w:r>
      <w:r w:rsidR="00413110">
        <w:rPr>
          <w:rFonts w:ascii="Arial" w:hAnsi="Arial" w:cs="Arial"/>
          <w:bCs/>
          <w:shd w:val="clear" w:color="auto" w:fill="FFFFFF"/>
        </w:rPr>
        <w:t>nie mają</w:t>
      </w:r>
      <w:r w:rsidR="00E1334D">
        <w:rPr>
          <w:rFonts w:ascii="Arial" w:hAnsi="Arial" w:cs="Arial"/>
          <w:bCs/>
          <w:shd w:val="clear" w:color="auto" w:fill="FFFFFF"/>
        </w:rPr>
        <w:t xml:space="preserve"> wpływu na ocenę stężeń</w:t>
      </w:r>
      <w:r w:rsidR="00C31646">
        <w:rPr>
          <w:rFonts w:ascii="Arial" w:hAnsi="Arial" w:cs="Arial"/>
          <w:bCs/>
          <w:shd w:val="clear" w:color="auto" w:fill="FFFFFF"/>
        </w:rPr>
        <w:t xml:space="preserve"> np.:</w:t>
      </w:r>
      <w:r w:rsidR="00E1334D">
        <w:rPr>
          <w:rFonts w:ascii="Arial" w:hAnsi="Arial" w:cs="Arial"/>
          <w:bCs/>
          <w:shd w:val="clear" w:color="auto" w:fill="FFFFFF"/>
        </w:rPr>
        <w:t xml:space="preserve"> kortyzolu w surowicy. </w:t>
      </w:r>
      <w:r w:rsidR="00413110">
        <w:rPr>
          <w:rFonts w:ascii="Arial" w:hAnsi="Arial" w:cs="Arial"/>
          <w:bCs/>
          <w:shd w:val="clear" w:color="auto" w:fill="FFFFFF"/>
        </w:rPr>
        <w:t xml:space="preserve">W dalszym przebiegu ciąży interpretacja wyników badań jest utrudniona, co było powodem poszukiwania </w:t>
      </w:r>
      <w:r w:rsidR="007D1519">
        <w:rPr>
          <w:rFonts w:ascii="Arial" w:hAnsi="Arial" w:cs="Arial"/>
          <w:bCs/>
          <w:shd w:val="clear" w:color="auto" w:fill="FFFFFF"/>
        </w:rPr>
        <w:t xml:space="preserve">przeze mnie </w:t>
      </w:r>
      <w:r w:rsidR="002342AE">
        <w:rPr>
          <w:rFonts w:ascii="Arial" w:hAnsi="Arial" w:cs="Arial"/>
          <w:bCs/>
          <w:shd w:val="clear" w:color="auto" w:fill="FFFFFF"/>
        </w:rPr>
        <w:t>nowych sposobów</w:t>
      </w:r>
      <w:r w:rsidR="00413110">
        <w:rPr>
          <w:rFonts w:ascii="Arial" w:hAnsi="Arial" w:cs="Arial"/>
          <w:bCs/>
          <w:shd w:val="clear" w:color="auto" w:fill="FFFFFF"/>
        </w:rPr>
        <w:t xml:space="preserve"> </w:t>
      </w:r>
      <w:r w:rsidR="00910D24">
        <w:rPr>
          <w:rFonts w:ascii="Arial" w:hAnsi="Arial" w:cs="Arial"/>
          <w:bCs/>
          <w:shd w:val="clear" w:color="auto" w:fill="FFFFFF"/>
        </w:rPr>
        <w:t>oceny stężeń kortyzolu i badań</w:t>
      </w:r>
      <w:r w:rsidR="00413110">
        <w:rPr>
          <w:rFonts w:ascii="Arial" w:hAnsi="Arial" w:cs="Arial"/>
          <w:bCs/>
          <w:shd w:val="clear" w:color="auto" w:fill="FFFFFF"/>
        </w:rPr>
        <w:t xml:space="preserve"> nad wykorzystaniem </w:t>
      </w:r>
      <w:r w:rsidR="00311D56">
        <w:rPr>
          <w:rFonts w:ascii="Arial" w:hAnsi="Arial" w:cs="Arial"/>
          <w:bCs/>
          <w:shd w:val="clear" w:color="auto" w:fill="FFFFFF"/>
        </w:rPr>
        <w:t>oceny</w:t>
      </w:r>
      <w:r w:rsidR="00956979">
        <w:rPr>
          <w:rFonts w:ascii="Arial" w:hAnsi="Arial" w:cs="Arial"/>
          <w:bCs/>
          <w:shd w:val="clear" w:color="auto" w:fill="FFFFFF"/>
        </w:rPr>
        <w:t xml:space="preserve"> </w:t>
      </w:r>
      <w:r w:rsidR="00413110">
        <w:rPr>
          <w:rFonts w:ascii="Arial" w:hAnsi="Arial" w:cs="Arial"/>
          <w:bCs/>
          <w:shd w:val="clear" w:color="auto" w:fill="FFFFFF"/>
        </w:rPr>
        <w:t xml:space="preserve">kortyzolu w ślinie.   </w:t>
      </w:r>
      <w:r w:rsidR="00E1334D">
        <w:rPr>
          <w:rFonts w:ascii="Arial" w:hAnsi="Arial" w:cs="Arial"/>
          <w:bCs/>
          <w:shd w:val="clear" w:color="auto" w:fill="FFFFFF"/>
        </w:rPr>
        <w:t xml:space="preserve">       </w:t>
      </w:r>
      <w:r w:rsidR="00F0228B">
        <w:rPr>
          <w:rFonts w:ascii="Arial" w:hAnsi="Arial" w:cs="Arial"/>
          <w:bCs/>
          <w:shd w:val="clear" w:color="auto" w:fill="FFFFFF"/>
        </w:rPr>
        <w:t xml:space="preserve">    </w:t>
      </w:r>
      <w:r>
        <w:rPr>
          <w:rFonts w:ascii="Arial" w:hAnsi="Arial" w:cs="Arial"/>
          <w:bCs/>
          <w:shd w:val="clear" w:color="auto" w:fill="FFFFFF"/>
        </w:rPr>
        <w:t xml:space="preserve">  </w:t>
      </w:r>
      <w:r w:rsidR="00CC177F">
        <w:rPr>
          <w:rFonts w:ascii="Arial" w:hAnsi="Arial" w:cs="Arial"/>
          <w:bCs/>
          <w:shd w:val="clear" w:color="auto" w:fill="FFFFFF"/>
        </w:rPr>
        <w:t xml:space="preserve">  </w:t>
      </w:r>
    </w:p>
    <w:p w:rsidR="003D50C6" w:rsidRDefault="003D50C6" w:rsidP="003D50C6">
      <w:pPr>
        <w:spacing w:line="360" w:lineRule="auto"/>
        <w:ind w:firstLine="708"/>
        <w:jc w:val="both"/>
        <w:rPr>
          <w:rFonts w:ascii="Arial" w:hAnsi="Arial" w:cs="Arial"/>
          <w:bCs/>
          <w:shd w:val="clear" w:color="auto" w:fill="FFFFFF"/>
        </w:rPr>
      </w:pPr>
      <w:r>
        <w:rPr>
          <w:rFonts w:ascii="Arial" w:hAnsi="Arial" w:cs="Arial"/>
          <w:bCs/>
          <w:shd w:val="clear" w:color="auto" w:fill="FFFFFF"/>
        </w:rPr>
        <w:t xml:space="preserve">Pacjentki z zespołem </w:t>
      </w:r>
      <w:proofErr w:type="spellStart"/>
      <w:r>
        <w:rPr>
          <w:rFonts w:ascii="Arial" w:hAnsi="Arial" w:cs="Arial"/>
          <w:bCs/>
          <w:shd w:val="clear" w:color="auto" w:fill="FFFFFF"/>
        </w:rPr>
        <w:t>hiperandrogenizacji</w:t>
      </w:r>
      <w:proofErr w:type="spellEnd"/>
      <w:r>
        <w:rPr>
          <w:rFonts w:ascii="Arial" w:hAnsi="Arial" w:cs="Arial"/>
          <w:bCs/>
          <w:shd w:val="clear" w:color="auto" w:fill="FFFFFF"/>
        </w:rPr>
        <w:t xml:space="preserve"> wymagają w pierwszej kolejności oceny klinicznej objawów a więc przede wszystkim stopnia nasilenia hirsut</w:t>
      </w:r>
      <w:r w:rsidR="00BA4F3F">
        <w:rPr>
          <w:rFonts w:ascii="Arial" w:hAnsi="Arial" w:cs="Arial"/>
          <w:bCs/>
          <w:shd w:val="clear" w:color="auto" w:fill="FFFFFF"/>
        </w:rPr>
        <w:t>yzmu a następnie wykonania badania</w:t>
      </w:r>
      <w:r>
        <w:rPr>
          <w:rFonts w:ascii="Arial" w:hAnsi="Arial" w:cs="Arial"/>
          <w:bCs/>
          <w:shd w:val="clear" w:color="auto" w:fill="FFFFFF"/>
        </w:rPr>
        <w:t xml:space="preserve"> androgenów, przede wszystkim stężenia całkowitego testosteronu w surowicy wg zaleceń </w:t>
      </w:r>
      <w:proofErr w:type="spellStart"/>
      <w:r w:rsidRPr="0014638C">
        <w:rPr>
          <w:rFonts w:ascii="Arial" w:hAnsi="Arial" w:cs="Arial"/>
          <w:bCs/>
          <w:i/>
          <w:shd w:val="clear" w:color="auto" w:fill="FFFFFF"/>
        </w:rPr>
        <w:t>Endocrine</w:t>
      </w:r>
      <w:proofErr w:type="spellEnd"/>
      <w:r w:rsidRPr="0014638C">
        <w:rPr>
          <w:rFonts w:ascii="Arial" w:hAnsi="Arial" w:cs="Arial"/>
          <w:bCs/>
          <w:i/>
          <w:shd w:val="clear" w:color="auto" w:fill="FFFFFF"/>
        </w:rPr>
        <w:t xml:space="preserve"> </w:t>
      </w:r>
      <w:proofErr w:type="spellStart"/>
      <w:r w:rsidRPr="0014638C">
        <w:rPr>
          <w:rFonts w:ascii="Arial" w:hAnsi="Arial" w:cs="Arial"/>
          <w:bCs/>
          <w:i/>
          <w:shd w:val="clear" w:color="auto" w:fill="FFFFFF"/>
        </w:rPr>
        <w:t>Society</w:t>
      </w:r>
      <w:proofErr w:type="spellEnd"/>
      <w:r w:rsidRPr="0014638C">
        <w:rPr>
          <w:rFonts w:ascii="Arial" w:hAnsi="Arial" w:cs="Arial"/>
          <w:bCs/>
          <w:i/>
          <w:shd w:val="clear" w:color="auto" w:fill="FFFFFF"/>
        </w:rPr>
        <w:t xml:space="preserve"> 2008</w:t>
      </w:r>
      <w:r>
        <w:rPr>
          <w:rFonts w:ascii="Arial" w:hAnsi="Arial" w:cs="Arial"/>
          <w:bCs/>
          <w:i/>
          <w:shd w:val="clear" w:color="auto" w:fill="FFFFFF"/>
        </w:rPr>
        <w:t>, 2018</w:t>
      </w:r>
      <w:r>
        <w:rPr>
          <w:rFonts w:ascii="Arial" w:hAnsi="Arial" w:cs="Arial"/>
          <w:bCs/>
          <w:shd w:val="clear" w:color="auto" w:fill="FFFFFF"/>
        </w:rPr>
        <w:t xml:space="preserve">. W jednej z prac wraz ze studentami próbowaliśmy odpowiedzieć na pytanie czy ocena </w:t>
      </w:r>
      <w:r w:rsidR="00311D56">
        <w:rPr>
          <w:rFonts w:ascii="Arial" w:hAnsi="Arial" w:cs="Arial"/>
          <w:bCs/>
          <w:shd w:val="clear" w:color="auto" w:fill="FFFFFF"/>
        </w:rPr>
        <w:t xml:space="preserve">stężenia </w:t>
      </w:r>
      <w:r>
        <w:rPr>
          <w:rFonts w:ascii="Arial" w:hAnsi="Arial" w:cs="Arial"/>
          <w:bCs/>
          <w:shd w:val="clear" w:color="auto" w:fill="FFFFFF"/>
        </w:rPr>
        <w:t xml:space="preserve">testosteronu w ślinie a więc frakcji testosteronu biodostępnego może zastąpić ocenę w surowicy oraz czy ocena </w:t>
      </w:r>
      <w:r w:rsidR="00311D56">
        <w:rPr>
          <w:rFonts w:ascii="Arial" w:hAnsi="Arial" w:cs="Arial"/>
          <w:bCs/>
          <w:shd w:val="clear" w:color="auto" w:fill="FFFFFF"/>
        </w:rPr>
        <w:t xml:space="preserve">stężenia </w:t>
      </w:r>
      <w:r>
        <w:rPr>
          <w:rFonts w:ascii="Arial" w:hAnsi="Arial" w:cs="Arial"/>
          <w:bCs/>
          <w:shd w:val="clear" w:color="auto" w:fill="FFFFFF"/>
        </w:rPr>
        <w:t xml:space="preserve">testosteronu jako jedynego badania przesiewowego jest wystarczająca do postawienia rozpoznania </w:t>
      </w:r>
      <w:proofErr w:type="spellStart"/>
      <w:r>
        <w:rPr>
          <w:rFonts w:ascii="Arial" w:hAnsi="Arial" w:cs="Arial"/>
          <w:bCs/>
          <w:shd w:val="clear" w:color="auto" w:fill="FFFFFF"/>
        </w:rPr>
        <w:t>hiperandrogenizmu</w:t>
      </w:r>
      <w:proofErr w:type="spellEnd"/>
      <w:r>
        <w:rPr>
          <w:rFonts w:ascii="Arial" w:hAnsi="Arial" w:cs="Arial"/>
          <w:bCs/>
          <w:shd w:val="clear" w:color="auto" w:fill="FFFFFF"/>
        </w:rPr>
        <w:t xml:space="preserve"> biochemicznego.</w:t>
      </w:r>
    </w:p>
    <w:p w:rsidR="00ED1DB7" w:rsidRDefault="00B11071" w:rsidP="00840DE9">
      <w:pPr>
        <w:spacing w:line="360" w:lineRule="auto"/>
        <w:ind w:firstLine="708"/>
        <w:jc w:val="both"/>
        <w:rPr>
          <w:rFonts w:ascii="Arial" w:hAnsi="Arial" w:cs="Arial"/>
          <w:bCs/>
          <w:shd w:val="clear" w:color="auto" w:fill="FFFFFF"/>
        </w:rPr>
      </w:pPr>
      <w:r>
        <w:rPr>
          <w:rFonts w:ascii="Arial" w:hAnsi="Arial" w:cs="Arial"/>
          <w:bCs/>
          <w:shd w:val="clear" w:color="auto" w:fill="FFFFFF"/>
        </w:rPr>
        <w:t>K</w:t>
      </w:r>
      <w:r w:rsidR="00CC177F">
        <w:rPr>
          <w:rFonts w:ascii="Arial" w:hAnsi="Arial" w:cs="Arial"/>
          <w:bCs/>
          <w:shd w:val="clear" w:color="auto" w:fill="FFFFFF"/>
        </w:rPr>
        <w:t xml:space="preserve">obiety, </w:t>
      </w:r>
      <w:r>
        <w:rPr>
          <w:rFonts w:ascii="Arial" w:hAnsi="Arial" w:cs="Arial"/>
          <w:bCs/>
          <w:shd w:val="clear" w:color="auto" w:fill="FFFFFF"/>
        </w:rPr>
        <w:t xml:space="preserve">z nasilonymi objawami </w:t>
      </w:r>
      <w:proofErr w:type="spellStart"/>
      <w:r>
        <w:rPr>
          <w:rFonts w:ascii="Arial" w:hAnsi="Arial" w:cs="Arial"/>
          <w:bCs/>
          <w:shd w:val="clear" w:color="auto" w:fill="FFFFFF"/>
        </w:rPr>
        <w:t>hiperandrogenizacji</w:t>
      </w:r>
      <w:proofErr w:type="spellEnd"/>
      <w:r>
        <w:rPr>
          <w:rFonts w:ascii="Arial" w:hAnsi="Arial" w:cs="Arial"/>
          <w:bCs/>
          <w:shd w:val="clear" w:color="auto" w:fill="FFFFFF"/>
        </w:rPr>
        <w:t>,</w:t>
      </w:r>
      <w:r w:rsidRPr="00B11071">
        <w:rPr>
          <w:rFonts w:ascii="Arial" w:hAnsi="Arial" w:cs="Arial"/>
          <w:bCs/>
          <w:shd w:val="clear" w:color="auto" w:fill="FFFFFF"/>
        </w:rPr>
        <w:t xml:space="preserve"> </w:t>
      </w:r>
      <w:r w:rsidR="00CC177F">
        <w:rPr>
          <w:rFonts w:ascii="Arial" w:hAnsi="Arial" w:cs="Arial"/>
          <w:bCs/>
          <w:shd w:val="clear" w:color="auto" w:fill="FFFFFF"/>
        </w:rPr>
        <w:t>u których występuje nadmierna produkcja androgenów wymagają szczegółowej diagnostyki biochemicznej</w:t>
      </w:r>
      <w:r w:rsidR="00ED1DB7">
        <w:rPr>
          <w:rFonts w:ascii="Arial" w:hAnsi="Arial" w:cs="Arial"/>
          <w:bCs/>
          <w:shd w:val="clear" w:color="auto" w:fill="FFFFFF"/>
        </w:rPr>
        <w:t xml:space="preserve"> z</w:t>
      </w:r>
      <w:r w:rsidR="00840DE9">
        <w:rPr>
          <w:rFonts w:ascii="Arial" w:hAnsi="Arial" w:cs="Arial"/>
          <w:bCs/>
          <w:shd w:val="clear" w:color="auto" w:fill="FFFFFF"/>
        </w:rPr>
        <w:t xml:space="preserve"> </w:t>
      </w:r>
      <w:r w:rsidR="00ED1DB7">
        <w:rPr>
          <w:rFonts w:ascii="Arial" w:hAnsi="Arial" w:cs="Arial"/>
          <w:bCs/>
          <w:shd w:val="clear" w:color="auto" w:fill="FFFFFF"/>
        </w:rPr>
        <w:t>użyciem metod o najlepszej wiarygodności</w:t>
      </w:r>
      <w:r w:rsidR="004D0720">
        <w:rPr>
          <w:rFonts w:ascii="Arial" w:hAnsi="Arial" w:cs="Arial"/>
          <w:bCs/>
          <w:shd w:val="clear" w:color="auto" w:fill="FFFFFF"/>
        </w:rPr>
        <w:t xml:space="preserve"> w celu ustalenia właściwego źródła nadprodukcji androgenów i jego przyczyny.</w:t>
      </w:r>
      <w:r>
        <w:rPr>
          <w:rFonts w:ascii="Arial" w:hAnsi="Arial" w:cs="Arial"/>
          <w:bCs/>
          <w:shd w:val="clear" w:color="auto" w:fill="FFFFFF"/>
        </w:rPr>
        <w:t xml:space="preserve"> Najczęstszą</w:t>
      </w:r>
      <w:r w:rsidR="00C31646">
        <w:rPr>
          <w:rFonts w:ascii="Arial" w:hAnsi="Arial" w:cs="Arial"/>
          <w:bCs/>
          <w:shd w:val="clear" w:color="auto" w:fill="FFFFFF"/>
        </w:rPr>
        <w:t xml:space="preserve"> przyczyną zespołu </w:t>
      </w:r>
      <w:proofErr w:type="spellStart"/>
      <w:r w:rsidR="00C31646">
        <w:rPr>
          <w:rFonts w:ascii="Arial" w:hAnsi="Arial" w:cs="Arial"/>
          <w:bCs/>
          <w:shd w:val="clear" w:color="auto" w:fill="FFFFFF"/>
        </w:rPr>
        <w:t>hiperandrogenizacji</w:t>
      </w:r>
      <w:proofErr w:type="spellEnd"/>
      <w:r w:rsidR="00C31646">
        <w:rPr>
          <w:rFonts w:ascii="Arial" w:hAnsi="Arial" w:cs="Arial"/>
          <w:bCs/>
          <w:shd w:val="clear" w:color="auto" w:fill="FFFFFF"/>
        </w:rPr>
        <w:t xml:space="preserve"> jest zespół </w:t>
      </w:r>
      <w:proofErr w:type="spellStart"/>
      <w:r w:rsidR="00C31646">
        <w:rPr>
          <w:rFonts w:ascii="Arial" w:hAnsi="Arial" w:cs="Arial"/>
          <w:bCs/>
          <w:shd w:val="clear" w:color="auto" w:fill="FFFFFF"/>
        </w:rPr>
        <w:t>policystycznych</w:t>
      </w:r>
      <w:proofErr w:type="spellEnd"/>
      <w:r w:rsidR="00C31646">
        <w:rPr>
          <w:rFonts w:ascii="Arial" w:hAnsi="Arial" w:cs="Arial"/>
          <w:bCs/>
          <w:shd w:val="clear" w:color="auto" w:fill="FFFFFF"/>
        </w:rPr>
        <w:t xml:space="preserve"> jajników</w:t>
      </w:r>
      <w:r w:rsidR="00355F9F">
        <w:rPr>
          <w:rFonts w:ascii="Arial" w:hAnsi="Arial" w:cs="Arial"/>
          <w:bCs/>
          <w:shd w:val="clear" w:color="auto" w:fill="FFFFFF"/>
        </w:rPr>
        <w:t xml:space="preserve"> (PCOS)</w:t>
      </w:r>
      <w:r w:rsidR="00C31646">
        <w:rPr>
          <w:rFonts w:ascii="Arial" w:hAnsi="Arial" w:cs="Arial"/>
          <w:bCs/>
          <w:shd w:val="clear" w:color="auto" w:fill="FFFFFF"/>
        </w:rPr>
        <w:t>. Do postawienia tego rozpoznania potrzebne jest wykluczenie innych</w:t>
      </w:r>
      <w:r w:rsidR="007D1519">
        <w:rPr>
          <w:rFonts w:ascii="Arial" w:hAnsi="Arial" w:cs="Arial"/>
          <w:bCs/>
          <w:shd w:val="clear" w:color="auto" w:fill="FFFFFF"/>
        </w:rPr>
        <w:t>,</w:t>
      </w:r>
      <w:r w:rsidR="00C31646">
        <w:rPr>
          <w:rFonts w:ascii="Arial" w:hAnsi="Arial" w:cs="Arial"/>
          <w:bCs/>
          <w:shd w:val="clear" w:color="auto" w:fill="FFFFFF"/>
        </w:rPr>
        <w:t xml:space="preserve"> rzadszych przyczyn </w:t>
      </w:r>
      <w:proofErr w:type="spellStart"/>
      <w:r w:rsidR="00C31646">
        <w:rPr>
          <w:rFonts w:ascii="Arial" w:hAnsi="Arial" w:cs="Arial"/>
          <w:bCs/>
          <w:shd w:val="clear" w:color="auto" w:fill="FFFFFF"/>
        </w:rPr>
        <w:t>hiperandrogenizmu</w:t>
      </w:r>
      <w:proofErr w:type="spellEnd"/>
      <w:r w:rsidR="00C31646">
        <w:rPr>
          <w:rFonts w:ascii="Arial" w:hAnsi="Arial" w:cs="Arial"/>
          <w:bCs/>
          <w:shd w:val="clear" w:color="auto" w:fill="FFFFFF"/>
        </w:rPr>
        <w:t xml:space="preserve"> w tym </w:t>
      </w:r>
      <w:r w:rsidR="00355F9F">
        <w:rPr>
          <w:rFonts w:ascii="Arial" w:hAnsi="Arial" w:cs="Arial"/>
          <w:bCs/>
          <w:shd w:val="clear" w:color="auto" w:fill="FFFFFF"/>
        </w:rPr>
        <w:t xml:space="preserve">nieklasycznej a więc późno ujawniającej się postaci </w:t>
      </w:r>
      <w:r w:rsidR="00C31646">
        <w:rPr>
          <w:rFonts w:ascii="Arial" w:hAnsi="Arial" w:cs="Arial"/>
          <w:bCs/>
          <w:shd w:val="clear" w:color="auto" w:fill="FFFFFF"/>
        </w:rPr>
        <w:t xml:space="preserve">wrodzonego przerostu nadnerczy (WPN).  </w:t>
      </w:r>
      <w:r w:rsidR="00355F9F">
        <w:rPr>
          <w:rFonts w:ascii="Arial" w:hAnsi="Arial" w:cs="Arial"/>
          <w:bCs/>
          <w:shd w:val="clear" w:color="auto" w:fill="FFFFFF"/>
        </w:rPr>
        <w:t xml:space="preserve">Z uwagi na duże podobieństwo </w:t>
      </w:r>
      <w:r w:rsidR="00C31646">
        <w:rPr>
          <w:rFonts w:ascii="Arial" w:hAnsi="Arial" w:cs="Arial"/>
          <w:bCs/>
          <w:shd w:val="clear" w:color="auto" w:fill="FFFFFF"/>
        </w:rPr>
        <w:t xml:space="preserve"> </w:t>
      </w:r>
      <w:r w:rsidR="00355F9F">
        <w:rPr>
          <w:rFonts w:ascii="Arial" w:hAnsi="Arial" w:cs="Arial"/>
          <w:bCs/>
          <w:shd w:val="clear" w:color="auto" w:fill="FFFFFF"/>
        </w:rPr>
        <w:t>kliniczne ale niekiedy konieczność odmiennego leczenia</w:t>
      </w:r>
      <w:r w:rsidR="007D1519">
        <w:rPr>
          <w:rFonts w:ascii="Arial" w:hAnsi="Arial" w:cs="Arial"/>
          <w:bCs/>
          <w:shd w:val="clear" w:color="auto" w:fill="FFFFFF"/>
        </w:rPr>
        <w:t xml:space="preserve"> kluczowe jest </w:t>
      </w:r>
      <w:r w:rsidR="003820AE">
        <w:rPr>
          <w:rFonts w:ascii="Arial" w:hAnsi="Arial" w:cs="Arial"/>
          <w:bCs/>
          <w:shd w:val="clear" w:color="auto" w:fill="FFFFFF"/>
        </w:rPr>
        <w:t>po</w:t>
      </w:r>
      <w:r w:rsidR="007D1519">
        <w:rPr>
          <w:rFonts w:ascii="Arial" w:hAnsi="Arial" w:cs="Arial"/>
          <w:bCs/>
          <w:shd w:val="clear" w:color="auto" w:fill="FFFFFF"/>
        </w:rPr>
        <w:t>st</w:t>
      </w:r>
      <w:r w:rsidR="003820AE">
        <w:rPr>
          <w:rFonts w:ascii="Arial" w:hAnsi="Arial" w:cs="Arial"/>
          <w:bCs/>
          <w:shd w:val="clear" w:color="auto" w:fill="FFFFFF"/>
        </w:rPr>
        <w:t>a</w:t>
      </w:r>
      <w:r w:rsidR="007D1519">
        <w:rPr>
          <w:rFonts w:ascii="Arial" w:hAnsi="Arial" w:cs="Arial"/>
          <w:bCs/>
          <w:shd w:val="clear" w:color="auto" w:fill="FFFFFF"/>
        </w:rPr>
        <w:t>wienie właściwego rozpoznania, które opiera się na ocenie stężenia 17-hydroksyprogesteronu (17OHP)</w:t>
      </w:r>
      <w:r w:rsidR="00F63CD6">
        <w:rPr>
          <w:rFonts w:ascii="Arial" w:hAnsi="Arial" w:cs="Arial"/>
          <w:bCs/>
          <w:shd w:val="clear" w:color="auto" w:fill="FFFFFF"/>
        </w:rPr>
        <w:t xml:space="preserve"> w surowicy</w:t>
      </w:r>
      <w:r w:rsidR="007D1519">
        <w:rPr>
          <w:rFonts w:ascii="Arial" w:hAnsi="Arial" w:cs="Arial"/>
          <w:bCs/>
          <w:shd w:val="clear" w:color="auto" w:fill="FFFFFF"/>
        </w:rPr>
        <w:t xml:space="preserve">. Wiarygodność tego badania ma więc podstawowe znaczenie w diagnostyce różnicowej i temu zagadnieniu poświęcone są dwie publikacje przedstawianego osiągnięcia naukowego.   </w:t>
      </w:r>
      <w:r w:rsidR="00355F9F">
        <w:rPr>
          <w:rFonts w:ascii="Arial" w:hAnsi="Arial" w:cs="Arial"/>
          <w:bCs/>
          <w:shd w:val="clear" w:color="auto" w:fill="FFFFFF"/>
        </w:rPr>
        <w:t xml:space="preserve"> </w:t>
      </w:r>
      <w:r w:rsidR="00C31646">
        <w:rPr>
          <w:rFonts w:ascii="Arial" w:hAnsi="Arial" w:cs="Arial"/>
          <w:bCs/>
          <w:shd w:val="clear" w:color="auto" w:fill="FFFFFF"/>
        </w:rPr>
        <w:t xml:space="preserve">   </w:t>
      </w:r>
    </w:p>
    <w:p w:rsidR="00EC15FD" w:rsidRDefault="00F56653" w:rsidP="00444B48">
      <w:pPr>
        <w:spacing w:line="360" w:lineRule="auto"/>
        <w:ind w:firstLine="708"/>
        <w:jc w:val="both"/>
        <w:rPr>
          <w:rFonts w:ascii="Arial" w:hAnsi="Arial" w:cs="Arial"/>
          <w:bCs/>
          <w:shd w:val="clear" w:color="auto" w:fill="FFFFFF"/>
        </w:rPr>
      </w:pPr>
      <w:r>
        <w:rPr>
          <w:rFonts w:ascii="Arial" w:hAnsi="Arial" w:cs="Arial"/>
          <w:bCs/>
          <w:shd w:val="clear" w:color="auto" w:fill="FFFFFF"/>
        </w:rPr>
        <w:t xml:space="preserve">W diagnostyce guza chromochłonnego ocena biochemiczna odgrywa podobnie kluczową rolę, ponieważ pozwala na </w:t>
      </w:r>
      <w:r w:rsidR="00444B48">
        <w:rPr>
          <w:rFonts w:ascii="Arial" w:hAnsi="Arial" w:cs="Arial"/>
          <w:bCs/>
          <w:shd w:val="clear" w:color="auto" w:fill="FFFFFF"/>
        </w:rPr>
        <w:t xml:space="preserve">przedoperacyjne </w:t>
      </w:r>
      <w:r>
        <w:rPr>
          <w:rFonts w:ascii="Arial" w:hAnsi="Arial" w:cs="Arial"/>
          <w:bCs/>
          <w:shd w:val="clear" w:color="auto" w:fill="FFFFFF"/>
        </w:rPr>
        <w:t>postawienie rozpoznania nowotworu i ustalenie wskazań do przygotowania farmakologicznego</w:t>
      </w:r>
      <w:r w:rsidR="002D6391">
        <w:rPr>
          <w:rFonts w:ascii="Arial" w:hAnsi="Arial" w:cs="Arial"/>
          <w:bCs/>
          <w:shd w:val="clear" w:color="auto" w:fill="FFFFFF"/>
        </w:rPr>
        <w:t xml:space="preserve"> alfa </w:t>
      </w:r>
      <w:proofErr w:type="spellStart"/>
      <w:r w:rsidR="002D6391">
        <w:rPr>
          <w:rFonts w:ascii="Arial" w:hAnsi="Arial" w:cs="Arial"/>
          <w:bCs/>
          <w:shd w:val="clear" w:color="auto" w:fill="FFFFFF"/>
        </w:rPr>
        <w:t>adrenolitykiem</w:t>
      </w:r>
      <w:proofErr w:type="spellEnd"/>
      <w:r w:rsidR="002D6391">
        <w:rPr>
          <w:rFonts w:ascii="Arial" w:hAnsi="Arial" w:cs="Arial"/>
          <w:bCs/>
          <w:shd w:val="clear" w:color="auto" w:fill="FFFFFF"/>
        </w:rPr>
        <w:t xml:space="preserve"> </w:t>
      </w:r>
      <w:r w:rsidR="002342AE">
        <w:rPr>
          <w:rFonts w:ascii="Arial" w:hAnsi="Arial" w:cs="Arial"/>
          <w:bCs/>
          <w:shd w:val="clear" w:color="auto" w:fill="FFFFFF"/>
        </w:rPr>
        <w:t>do leczenia chirurgicznego</w:t>
      </w:r>
      <w:r>
        <w:rPr>
          <w:rFonts w:ascii="Arial" w:hAnsi="Arial" w:cs="Arial"/>
          <w:bCs/>
          <w:shd w:val="clear" w:color="auto" w:fill="FFFFFF"/>
        </w:rPr>
        <w:t xml:space="preserve">. Ma to znaczenie ponieważ </w:t>
      </w:r>
      <w:r w:rsidR="00A57756">
        <w:rPr>
          <w:rFonts w:ascii="Arial" w:hAnsi="Arial" w:cs="Arial"/>
          <w:bCs/>
          <w:shd w:val="clear" w:color="auto" w:fill="FFFFFF"/>
        </w:rPr>
        <w:t>niepotrzebne przy</w:t>
      </w:r>
      <w:r w:rsidR="00D13737">
        <w:rPr>
          <w:rFonts w:ascii="Arial" w:hAnsi="Arial" w:cs="Arial"/>
          <w:bCs/>
          <w:shd w:val="clear" w:color="auto" w:fill="FFFFFF"/>
        </w:rPr>
        <w:t>gotowanie pacjentów z fałszywymi</w:t>
      </w:r>
      <w:r w:rsidR="00A57756">
        <w:rPr>
          <w:rFonts w:ascii="Arial" w:hAnsi="Arial" w:cs="Arial"/>
          <w:bCs/>
          <w:shd w:val="clear" w:color="auto" w:fill="FFFFFF"/>
        </w:rPr>
        <w:t xml:space="preserve"> biochemicznymi rozpoznaniami może skutkować destabilizacj</w:t>
      </w:r>
      <w:r w:rsidR="00444B48">
        <w:rPr>
          <w:rFonts w:ascii="Arial" w:hAnsi="Arial" w:cs="Arial"/>
          <w:bCs/>
          <w:shd w:val="clear" w:color="auto" w:fill="FFFFFF"/>
        </w:rPr>
        <w:t>ą</w:t>
      </w:r>
      <w:r w:rsidR="00A57756">
        <w:rPr>
          <w:rFonts w:ascii="Arial" w:hAnsi="Arial" w:cs="Arial"/>
          <w:bCs/>
          <w:shd w:val="clear" w:color="auto" w:fill="FFFFFF"/>
        </w:rPr>
        <w:t xml:space="preserve"> hemodynamiczn</w:t>
      </w:r>
      <w:r w:rsidR="00444B48">
        <w:rPr>
          <w:rFonts w:ascii="Arial" w:hAnsi="Arial" w:cs="Arial"/>
          <w:bCs/>
          <w:shd w:val="clear" w:color="auto" w:fill="FFFFFF"/>
        </w:rPr>
        <w:t xml:space="preserve">ą przed, </w:t>
      </w:r>
      <w:r w:rsidR="00A57756">
        <w:rPr>
          <w:rFonts w:ascii="Arial" w:hAnsi="Arial" w:cs="Arial"/>
          <w:bCs/>
          <w:shd w:val="clear" w:color="auto" w:fill="FFFFFF"/>
        </w:rPr>
        <w:t>podczas</w:t>
      </w:r>
      <w:r w:rsidR="002D6391">
        <w:rPr>
          <w:rFonts w:ascii="Arial" w:hAnsi="Arial" w:cs="Arial"/>
          <w:bCs/>
          <w:shd w:val="clear" w:color="auto" w:fill="FFFFFF"/>
        </w:rPr>
        <w:t xml:space="preserve">, </w:t>
      </w:r>
      <w:r w:rsidR="00A57756">
        <w:rPr>
          <w:rFonts w:ascii="Arial" w:hAnsi="Arial" w:cs="Arial"/>
          <w:bCs/>
          <w:shd w:val="clear" w:color="auto" w:fill="FFFFFF"/>
        </w:rPr>
        <w:t xml:space="preserve">i po </w:t>
      </w:r>
      <w:r w:rsidR="002D6391">
        <w:rPr>
          <w:rFonts w:ascii="Arial" w:hAnsi="Arial" w:cs="Arial"/>
          <w:bCs/>
          <w:shd w:val="clear" w:color="auto" w:fill="FFFFFF"/>
        </w:rPr>
        <w:t>zabiegu operacyjnym</w:t>
      </w:r>
      <w:r w:rsidR="00A57756">
        <w:rPr>
          <w:rFonts w:ascii="Arial" w:hAnsi="Arial" w:cs="Arial"/>
          <w:bCs/>
          <w:shd w:val="clear" w:color="auto" w:fill="FFFFFF"/>
        </w:rPr>
        <w:t xml:space="preserve"> oraz </w:t>
      </w:r>
      <w:r w:rsidR="00444B48">
        <w:rPr>
          <w:rFonts w:ascii="Arial" w:hAnsi="Arial" w:cs="Arial"/>
          <w:bCs/>
          <w:shd w:val="clear" w:color="auto" w:fill="FFFFFF"/>
        </w:rPr>
        <w:t xml:space="preserve">opóźniać niepotrzebnie przeprowadzenie </w:t>
      </w:r>
      <w:proofErr w:type="spellStart"/>
      <w:r w:rsidR="00444B48">
        <w:rPr>
          <w:rFonts w:ascii="Arial" w:hAnsi="Arial" w:cs="Arial"/>
          <w:bCs/>
          <w:shd w:val="clear" w:color="auto" w:fill="FFFFFF"/>
        </w:rPr>
        <w:t>adrenalektomii</w:t>
      </w:r>
      <w:proofErr w:type="spellEnd"/>
      <w:r w:rsidR="00444B48">
        <w:rPr>
          <w:rFonts w:ascii="Arial" w:hAnsi="Arial" w:cs="Arial"/>
          <w:bCs/>
          <w:shd w:val="clear" w:color="auto" w:fill="FFFFFF"/>
        </w:rPr>
        <w:t xml:space="preserve"> np.: w przypadku  rzeczywistego rozpoznania raka kory nadnerczy.  Dostępność </w:t>
      </w:r>
      <w:r w:rsidR="00FF013A">
        <w:rPr>
          <w:rFonts w:ascii="Arial" w:hAnsi="Arial" w:cs="Arial"/>
          <w:bCs/>
          <w:shd w:val="clear" w:color="auto" w:fill="FFFFFF"/>
        </w:rPr>
        <w:t>testów</w:t>
      </w:r>
      <w:r w:rsidR="00444B48">
        <w:rPr>
          <w:rFonts w:ascii="Arial" w:hAnsi="Arial" w:cs="Arial"/>
          <w:bCs/>
          <w:shd w:val="clear" w:color="auto" w:fill="FFFFFF"/>
        </w:rPr>
        <w:t xml:space="preserve"> o najlepszej charakterystyce jest jednak jeszcze ograniczona lub nawet niedostępna. </w:t>
      </w:r>
      <w:r w:rsidR="000F28A3">
        <w:rPr>
          <w:rFonts w:ascii="Arial" w:hAnsi="Arial" w:cs="Arial"/>
          <w:bCs/>
          <w:shd w:val="clear" w:color="auto" w:fill="FFFFFF"/>
        </w:rPr>
        <w:t>W kolejnej analizie</w:t>
      </w:r>
      <w:r w:rsidR="00DD0418">
        <w:rPr>
          <w:rFonts w:ascii="Arial" w:hAnsi="Arial" w:cs="Arial"/>
          <w:bCs/>
          <w:shd w:val="clear" w:color="auto" w:fill="FFFFFF"/>
        </w:rPr>
        <w:t>,</w:t>
      </w:r>
      <w:r w:rsidR="000F28A3">
        <w:rPr>
          <w:rFonts w:ascii="Arial" w:hAnsi="Arial" w:cs="Arial"/>
          <w:bCs/>
          <w:shd w:val="clear" w:color="auto" w:fill="FFFFFF"/>
        </w:rPr>
        <w:t xml:space="preserve"> przeprowadzonej razem ze studentami</w:t>
      </w:r>
      <w:r w:rsidR="00DD0418">
        <w:rPr>
          <w:rFonts w:ascii="Arial" w:hAnsi="Arial" w:cs="Arial"/>
          <w:bCs/>
          <w:shd w:val="clear" w:color="auto" w:fill="FFFFFF"/>
        </w:rPr>
        <w:t>,</w:t>
      </w:r>
      <w:r w:rsidR="000F28A3">
        <w:rPr>
          <w:rFonts w:ascii="Arial" w:hAnsi="Arial" w:cs="Arial"/>
          <w:bCs/>
          <w:shd w:val="clear" w:color="auto" w:fill="FFFFFF"/>
        </w:rPr>
        <w:t xml:space="preserve"> przeanalizowaliśmy</w:t>
      </w:r>
      <w:r w:rsidR="002342AE">
        <w:rPr>
          <w:rFonts w:ascii="Arial" w:hAnsi="Arial" w:cs="Arial"/>
          <w:bCs/>
          <w:shd w:val="clear" w:color="auto" w:fill="FFFFFF"/>
        </w:rPr>
        <w:t xml:space="preserve"> </w:t>
      </w:r>
      <w:r w:rsidR="00444B48">
        <w:rPr>
          <w:rFonts w:ascii="Arial" w:hAnsi="Arial" w:cs="Arial"/>
          <w:bCs/>
          <w:shd w:val="clear" w:color="auto" w:fill="FFFFFF"/>
        </w:rPr>
        <w:t xml:space="preserve">więc </w:t>
      </w:r>
      <w:r w:rsidR="000F28A3">
        <w:rPr>
          <w:rFonts w:ascii="Arial" w:hAnsi="Arial" w:cs="Arial"/>
          <w:bCs/>
          <w:shd w:val="clear" w:color="auto" w:fill="FFFFFF"/>
        </w:rPr>
        <w:t xml:space="preserve">znaczenie </w:t>
      </w:r>
      <w:proofErr w:type="spellStart"/>
      <w:r w:rsidR="000F28A3">
        <w:rPr>
          <w:rFonts w:ascii="Arial" w:hAnsi="Arial" w:cs="Arial"/>
          <w:bCs/>
          <w:shd w:val="clear" w:color="auto" w:fill="FFFFFF"/>
        </w:rPr>
        <w:t>chromograniny</w:t>
      </w:r>
      <w:proofErr w:type="spellEnd"/>
      <w:r w:rsidR="000F28A3">
        <w:rPr>
          <w:rFonts w:ascii="Arial" w:hAnsi="Arial" w:cs="Arial"/>
          <w:bCs/>
          <w:shd w:val="clear" w:color="auto" w:fill="FFFFFF"/>
        </w:rPr>
        <w:t xml:space="preserve"> A (</w:t>
      </w:r>
      <w:proofErr w:type="spellStart"/>
      <w:r w:rsidR="000F28A3">
        <w:rPr>
          <w:rFonts w:ascii="Arial" w:hAnsi="Arial" w:cs="Arial"/>
          <w:bCs/>
          <w:shd w:val="clear" w:color="auto" w:fill="FFFFFF"/>
        </w:rPr>
        <w:t>CgA</w:t>
      </w:r>
      <w:proofErr w:type="spellEnd"/>
      <w:r w:rsidR="000F28A3">
        <w:rPr>
          <w:rFonts w:ascii="Arial" w:hAnsi="Arial" w:cs="Arial"/>
          <w:bCs/>
          <w:shd w:val="clear" w:color="auto" w:fill="FFFFFF"/>
        </w:rPr>
        <w:t xml:space="preserve">) w diagnostyce guza </w:t>
      </w:r>
      <w:r w:rsidR="000F28A3">
        <w:rPr>
          <w:rFonts w:ascii="Arial" w:hAnsi="Arial" w:cs="Arial"/>
          <w:bCs/>
          <w:shd w:val="clear" w:color="auto" w:fill="FFFFFF"/>
        </w:rPr>
        <w:lastRenderedPageBreak/>
        <w:t>chromochłonnego</w:t>
      </w:r>
      <w:r w:rsidR="002D6391">
        <w:rPr>
          <w:rFonts w:ascii="Arial" w:hAnsi="Arial" w:cs="Arial"/>
          <w:bCs/>
          <w:shd w:val="clear" w:color="auto" w:fill="FFFFFF"/>
        </w:rPr>
        <w:t xml:space="preserve">, markera guzów neuroendokrynnych, do których zalicza się także </w:t>
      </w:r>
      <w:proofErr w:type="spellStart"/>
      <w:r w:rsidR="005F64C9">
        <w:rPr>
          <w:rFonts w:ascii="Arial" w:hAnsi="Arial" w:cs="Arial"/>
          <w:bCs/>
          <w:shd w:val="clear" w:color="auto" w:fill="FFFFFF"/>
        </w:rPr>
        <w:t>pheochromocytoma</w:t>
      </w:r>
      <w:proofErr w:type="spellEnd"/>
      <w:r w:rsidR="002D6391">
        <w:rPr>
          <w:rFonts w:ascii="Arial" w:hAnsi="Arial" w:cs="Arial"/>
          <w:bCs/>
          <w:shd w:val="clear" w:color="auto" w:fill="FFFFFF"/>
        </w:rPr>
        <w:t xml:space="preserve">. </w:t>
      </w:r>
      <w:r w:rsidR="000F28A3">
        <w:rPr>
          <w:rFonts w:ascii="Arial" w:hAnsi="Arial" w:cs="Arial"/>
          <w:bCs/>
          <w:shd w:val="clear" w:color="auto" w:fill="FFFFFF"/>
        </w:rPr>
        <w:t xml:space="preserve">   </w:t>
      </w:r>
    </w:p>
    <w:p w:rsidR="00396EDB" w:rsidRPr="00396EDB" w:rsidRDefault="00F0228B" w:rsidP="00396EDB">
      <w:pPr>
        <w:spacing w:line="360" w:lineRule="auto"/>
        <w:ind w:firstLine="708"/>
        <w:jc w:val="both"/>
        <w:rPr>
          <w:rFonts w:ascii="Arial" w:hAnsi="Arial" w:cs="Arial"/>
          <w:bCs/>
          <w:shd w:val="clear" w:color="auto" w:fill="FFFFFF"/>
        </w:rPr>
      </w:pPr>
      <w:r>
        <w:rPr>
          <w:rFonts w:ascii="Arial" w:hAnsi="Arial" w:cs="Arial"/>
          <w:bCs/>
          <w:shd w:val="clear" w:color="auto" w:fill="FFFFFF"/>
        </w:rPr>
        <w:t xml:space="preserve">Przedstawiony poniżej cykl badań dotyczy </w:t>
      </w:r>
      <w:r w:rsidR="0071220F">
        <w:rPr>
          <w:rFonts w:ascii="Arial" w:hAnsi="Arial" w:cs="Arial"/>
          <w:bCs/>
          <w:shd w:val="clear" w:color="auto" w:fill="FFFFFF"/>
        </w:rPr>
        <w:t xml:space="preserve">wyników </w:t>
      </w:r>
      <w:r w:rsidR="003D50C6">
        <w:rPr>
          <w:rFonts w:ascii="Arial" w:hAnsi="Arial" w:cs="Arial"/>
          <w:bCs/>
          <w:shd w:val="clear" w:color="auto" w:fill="FFFFFF"/>
        </w:rPr>
        <w:t>pracy</w:t>
      </w:r>
      <w:r w:rsidR="0071220F">
        <w:rPr>
          <w:rFonts w:ascii="Arial" w:hAnsi="Arial" w:cs="Arial"/>
          <w:bCs/>
          <w:shd w:val="clear" w:color="auto" w:fill="FFFFFF"/>
        </w:rPr>
        <w:t xml:space="preserve"> nad </w:t>
      </w:r>
      <w:r w:rsidR="003E369D">
        <w:rPr>
          <w:rFonts w:ascii="Arial" w:hAnsi="Arial" w:cs="Arial"/>
          <w:bCs/>
          <w:shd w:val="clear" w:color="auto" w:fill="FFFFFF"/>
        </w:rPr>
        <w:t xml:space="preserve">udoskonaleniem </w:t>
      </w:r>
      <w:r>
        <w:rPr>
          <w:rFonts w:ascii="Arial" w:hAnsi="Arial" w:cs="Arial"/>
          <w:bCs/>
          <w:shd w:val="clear" w:color="auto" w:fill="FFFFFF"/>
        </w:rPr>
        <w:t>diagnostyk</w:t>
      </w:r>
      <w:r w:rsidR="003E369D">
        <w:rPr>
          <w:rFonts w:ascii="Arial" w:hAnsi="Arial" w:cs="Arial"/>
          <w:bCs/>
          <w:shd w:val="clear" w:color="auto" w:fill="FFFFFF"/>
        </w:rPr>
        <w:t>i</w:t>
      </w:r>
      <w:r>
        <w:rPr>
          <w:rFonts w:ascii="Arial" w:hAnsi="Arial" w:cs="Arial"/>
          <w:bCs/>
          <w:shd w:val="clear" w:color="auto" w:fill="FFFFFF"/>
        </w:rPr>
        <w:t xml:space="preserve"> </w:t>
      </w:r>
      <w:r w:rsidR="005F64C9">
        <w:rPr>
          <w:rFonts w:ascii="Arial" w:hAnsi="Arial" w:cs="Arial"/>
          <w:bCs/>
          <w:shd w:val="clear" w:color="auto" w:fill="FFFFFF"/>
        </w:rPr>
        <w:t xml:space="preserve">hormonalnej i biochemicznej </w:t>
      </w:r>
      <w:r>
        <w:rPr>
          <w:rFonts w:ascii="Arial" w:hAnsi="Arial" w:cs="Arial"/>
          <w:bCs/>
          <w:shd w:val="clear" w:color="auto" w:fill="FFFFFF"/>
        </w:rPr>
        <w:t>chorób nadnerczy i gonad, gdzie starałam się wykazać konieczność</w:t>
      </w:r>
      <w:r w:rsidR="0071220F">
        <w:rPr>
          <w:rFonts w:ascii="Arial" w:hAnsi="Arial" w:cs="Arial"/>
          <w:bCs/>
          <w:shd w:val="clear" w:color="auto" w:fill="FFFFFF"/>
        </w:rPr>
        <w:t xml:space="preserve"> analizy </w:t>
      </w:r>
      <w:r w:rsidR="006517BE">
        <w:rPr>
          <w:rFonts w:ascii="Arial" w:hAnsi="Arial" w:cs="Arial"/>
          <w:bCs/>
          <w:shd w:val="clear" w:color="auto" w:fill="FFFFFF"/>
        </w:rPr>
        <w:t xml:space="preserve">zastosowanego testu lub metody </w:t>
      </w:r>
      <w:r w:rsidR="0071220F">
        <w:rPr>
          <w:rFonts w:ascii="Arial" w:hAnsi="Arial" w:cs="Arial"/>
          <w:bCs/>
          <w:shd w:val="clear" w:color="auto" w:fill="FFFFFF"/>
        </w:rPr>
        <w:t>i sytuacji klinicznej w procesie podejmowan</w:t>
      </w:r>
      <w:r w:rsidR="003820AE">
        <w:rPr>
          <w:rFonts w:ascii="Arial" w:hAnsi="Arial" w:cs="Arial"/>
          <w:bCs/>
          <w:shd w:val="clear" w:color="auto" w:fill="FFFFFF"/>
        </w:rPr>
        <w:t>ia decyzji o rozpoznaniu chorób</w:t>
      </w:r>
      <w:r w:rsidR="00EC15FD">
        <w:rPr>
          <w:rFonts w:ascii="Arial" w:hAnsi="Arial" w:cs="Arial"/>
          <w:bCs/>
          <w:shd w:val="clear" w:color="auto" w:fill="FFFFFF"/>
        </w:rPr>
        <w:t xml:space="preserve"> nadnerczy i gonad</w:t>
      </w:r>
      <w:r w:rsidR="0071220F">
        <w:rPr>
          <w:rFonts w:ascii="Arial" w:hAnsi="Arial" w:cs="Arial"/>
          <w:bCs/>
          <w:shd w:val="clear" w:color="auto" w:fill="FFFFFF"/>
        </w:rPr>
        <w:t xml:space="preserve">.   </w:t>
      </w:r>
      <w:r>
        <w:rPr>
          <w:rFonts w:ascii="Arial" w:hAnsi="Arial" w:cs="Arial"/>
          <w:bCs/>
          <w:shd w:val="clear" w:color="auto" w:fill="FFFFFF"/>
        </w:rPr>
        <w:t xml:space="preserve">  </w:t>
      </w:r>
      <w:r w:rsidR="001738BE">
        <w:rPr>
          <w:rFonts w:ascii="Arial" w:hAnsi="Arial" w:cs="Arial"/>
          <w:bCs/>
          <w:shd w:val="clear" w:color="auto" w:fill="FFFFFF"/>
        </w:rPr>
        <w:t xml:space="preserve">        </w:t>
      </w:r>
    </w:p>
    <w:p w:rsidR="0015405E" w:rsidRDefault="0015405E" w:rsidP="001206BD">
      <w:pPr>
        <w:spacing w:line="360" w:lineRule="auto"/>
        <w:jc w:val="both"/>
        <w:rPr>
          <w:rFonts w:ascii="Arial" w:hAnsi="Arial" w:cs="Arial"/>
          <w:b/>
          <w:bCs/>
          <w:shd w:val="clear" w:color="auto" w:fill="FFFFFF"/>
        </w:rPr>
      </w:pPr>
      <w:r w:rsidRPr="0015405E">
        <w:rPr>
          <w:rFonts w:ascii="Arial" w:hAnsi="Arial" w:cs="Arial"/>
          <w:b/>
          <w:bCs/>
          <w:shd w:val="clear" w:color="auto" w:fill="FFFFFF"/>
        </w:rPr>
        <w:t xml:space="preserve">Publikacja 1. </w:t>
      </w:r>
    </w:p>
    <w:p w:rsidR="007D0D38" w:rsidRPr="007D0D38" w:rsidRDefault="007D0D38" w:rsidP="00082450">
      <w:pPr>
        <w:jc w:val="both"/>
        <w:rPr>
          <w:rStyle w:val="apple-converted-space"/>
          <w:rFonts w:ascii="Arial" w:hAnsi="Arial" w:cs="Arial"/>
          <w:b/>
          <w:bCs/>
          <w:shd w:val="clear" w:color="auto" w:fill="FFFFFF"/>
        </w:rPr>
      </w:pPr>
      <w:r w:rsidRPr="007D0D38">
        <w:rPr>
          <w:rFonts w:ascii="Arial" w:hAnsi="Arial" w:cs="Arial"/>
          <w:b/>
          <w:bCs/>
          <w:shd w:val="clear" w:color="auto" w:fill="FFFFFF"/>
        </w:rPr>
        <w:t>Ambroziak U</w:t>
      </w:r>
      <w:r w:rsidRPr="007D0D38">
        <w:rPr>
          <w:rFonts w:ascii="Arial" w:hAnsi="Arial" w:cs="Arial"/>
          <w:shd w:val="clear" w:color="auto" w:fill="FFFFFF"/>
        </w:rPr>
        <w:t xml:space="preserve">, Kondracka A, Bartoszewicz Z, </w:t>
      </w:r>
      <w:proofErr w:type="spellStart"/>
      <w:r w:rsidRPr="007D0D38">
        <w:rPr>
          <w:rFonts w:ascii="Arial" w:hAnsi="Arial" w:cs="Arial"/>
          <w:shd w:val="clear" w:color="auto" w:fill="FFFFFF"/>
        </w:rPr>
        <w:t>Krasnodębska-Kiljańska</w:t>
      </w:r>
      <w:proofErr w:type="spellEnd"/>
      <w:r w:rsidRPr="007D0D38">
        <w:rPr>
          <w:rFonts w:ascii="Arial" w:hAnsi="Arial" w:cs="Arial"/>
          <w:shd w:val="clear" w:color="auto" w:fill="FFFFFF"/>
        </w:rPr>
        <w:t xml:space="preserve"> M, Bednarczuk T.</w:t>
      </w:r>
      <w:r w:rsidRPr="007D0D38">
        <w:rPr>
          <w:rFonts w:ascii="Arial" w:hAnsi="Arial" w:cs="Arial"/>
        </w:rPr>
        <w:t xml:space="preserve"> </w:t>
      </w:r>
      <w:hyperlink r:id="rId11" w:history="1">
        <w:r w:rsidRPr="007D0D38">
          <w:rPr>
            <w:rStyle w:val="Hipercze"/>
            <w:rFonts w:ascii="Arial" w:hAnsi="Arial" w:cs="Arial"/>
            <w:color w:val="auto"/>
            <w:u w:val="none"/>
            <w:shd w:val="clear" w:color="auto" w:fill="FFFFFF"/>
            <w:lang w:val="en-US"/>
          </w:rPr>
          <w:t xml:space="preserve">The morning and late-night salivary </w:t>
        </w:r>
        <w:proofErr w:type="spellStart"/>
        <w:r w:rsidRPr="007D0D38">
          <w:rPr>
            <w:rStyle w:val="Hipercze"/>
            <w:rFonts w:ascii="Arial" w:hAnsi="Arial" w:cs="Arial"/>
            <w:color w:val="auto"/>
            <w:u w:val="none"/>
            <w:shd w:val="clear" w:color="auto" w:fill="FFFFFF"/>
            <w:lang w:val="en-US"/>
          </w:rPr>
          <w:t>cortisol</w:t>
        </w:r>
        <w:proofErr w:type="spellEnd"/>
        <w:r w:rsidRPr="007D0D38">
          <w:rPr>
            <w:rStyle w:val="Hipercze"/>
            <w:rFonts w:ascii="Arial" w:hAnsi="Arial" w:cs="Arial"/>
            <w:color w:val="auto"/>
            <w:u w:val="none"/>
            <w:shd w:val="clear" w:color="auto" w:fill="FFFFFF"/>
            <w:lang w:val="en-US"/>
          </w:rPr>
          <w:t xml:space="preserve"> ranges for healthy women may be used in pregnancy.</w:t>
        </w:r>
      </w:hyperlink>
      <w:r w:rsidRPr="007D0D38">
        <w:rPr>
          <w:rStyle w:val="Nagwek3Znak"/>
          <w:rFonts w:eastAsiaTheme="minorHAnsi"/>
          <w:shd w:val="clear" w:color="auto" w:fill="FFFFFF"/>
          <w:lang w:val="en-US"/>
        </w:rPr>
        <w:t xml:space="preserve"> </w:t>
      </w:r>
      <w:proofErr w:type="spellStart"/>
      <w:r w:rsidRPr="007D0D38">
        <w:rPr>
          <w:rStyle w:val="jrnl"/>
          <w:rFonts w:ascii="Arial" w:hAnsi="Arial" w:cs="Arial"/>
          <w:shd w:val="clear" w:color="auto" w:fill="FFFFFF"/>
        </w:rPr>
        <w:t>Clin</w:t>
      </w:r>
      <w:proofErr w:type="spellEnd"/>
      <w:r w:rsidRPr="007D0D38">
        <w:rPr>
          <w:rStyle w:val="jrnl"/>
          <w:rFonts w:ascii="Arial" w:hAnsi="Arial" w:cs="Arial"/>
          <w:shd w:val="clear" w:color="auto" w:fill="FFFFFF"/>
        </w:rPr>
        <w:t xml:space="preserve"> </w:t>
      </w:r>
      <w:proofErr w:type="spellStart"/>
      <w:r w:rsidRPr="007D0D38">
        <w:rPr>
          <w:rStyle w:val="jrnl"/>
          <w:rFonts w:ascii="Arial" w:hAnsi="Arial" w:cs="Arial"/>
          <w:shd w:val="clear" w:color="auto" w:fill="FFFFFF"/>
        </w:rPr>
        <w:t>Endocrinol</w:t>
      </w:r>
      <w:proofErr w:type="spellEnd"/>
      <w:r w:rsidRPr="007D0D38">
        <w:rPr>
          <w:rStyle w:val="jrnl"/>
          <w:rFonts w:ascii="Arial" w:hAnsi="Arial" w:cs="Arial"/>
          <w:shd w:val="clear" w:color="auto" w:fill="FFFFFF"/>
        </w:rPr>
        <w:t xml:space="preserve"> (</w:t>
      </w:r>
      <w:proofErr w:type="spellStart"/>
      <w:r w:rsidRPr="007D0D38">
        <w:rPr>
          <w:rStyle w:val="jrnl"/>
          <w:rFonts w:ascii="Arial" w:hAnsi="Arial" w:cs="Arial"/>
          <w:shd w:val="clear" w:color="auto" w:fill="FFFFFF"/>
        </w:rPr>
        <w:t>Oxf</w:t>
      </w:r>
      <w:proofErr w:type="spellEnd"/>
      <w:r w:rsidRPr="007D0D38">
        <w:rPr>
          <w:rStyle w:val="jrnl"/>
          <w:rFonts w:ascii="Arial" w:hAnsi="Arial" w:cs="Arial"/>
          <w:shd w:val="clear" w:color="auto" w:fill="FFFFFF"/>
        </w:rPr>
        <w:t>)</w:t>
      </w:r>
      <w:r w:rsidR="00987432">
        <w:rPr>
          <w:rFonts w:ascii="Arial" w:hAnsi="Arial" w:cs="Arial"/>
          <w:shd w:val="clear" w:color="auto" w:fill="FFFFFF"/>
        </w:rPr>
        <w:t>. 2015</w:t>
      </w:r>
      <w:r w:rsidRPr="007D0D38">
        <w:rPr>
          <w:rFonts w:ascii="Arial" w:hAnsi="Arial" w:cs="Arial"/>
          <w:shd w:val="clear" w:color="auto" w:fill="FFFFFF"/>
        </w:rPr>
        <w:t>;83(6):774-</w:t>
      </w:r>
      <w:r w:rsidR="00987432">
        <w:rPr>
          <w:rFonts w:ascii="Arial" w:hAnsi="Arial" w:cs="Arial"/>
          <w:shd w:val="clear" w:color="auto" w:fill="FFFFFF"/>
        </w:rPr>
        <w:t>77</w:t>
      </w:r>
      <w:r w:rsidRPr="007D0D38">
        <w:rPr>
          <w:rFonts w:ascii="Arial" w:hAnsi="Arial" w:cs="Arial"/>
          <w:shd w:val="clear" w:color="auto" w:fill="FFFFFF"/>
        </w:rPr>
        <w:t>8.</w:t>
      </w:r>
      <w:r w:rsidRPr="007D0D38">
        <w:rPr>
          <w:rStyle w:val="apple-converted-space"/>
          <w:rFonts w:cs="Arial"/>
          <w:shd w:val="clear" w:color="auto" w:fill="FFFFFF"/>
        </w:rPr>
        <w:t> </w:t>
      </w:r>
    </w:p>
    <w:p w:rsidR="001F43F1" w:rsidRDefault="0015405E" w:rsidP="00E1334D">
      <w:pPr>
        <w:spacing w:line="360" w:lineRule="auto"/>
        <w:ind w:firstLine="708"/>
        <w:jc w:val="both"/>
        <w:rPr>
          <w:rFonts w:ascii="Arial" w:hAnsi="Arial" w:cs="Arial"/>
        </w:rPr>
      </w:pPr>
      <w:r w:rsidRPr="0015405E">
        <w:rPr>
          <w:rFonts w:ascii="Arial" w:hAnsi="Arial" w:cs="Arial"/>
          <w:bCs/>
          <w:shd w:val="clear" w:color="auto" w:fill="FFFFFF"/>
        </w:rPr>
        <w:t>W</w:t>
      </w:r>
      <w:r w:rsidRPr="0015405E">
        <w:rPr>
          <w:rFonts w:ascii="Arial" w:hAnsi="Arial" w:cs="Arial"/>
        </w:rPr>
        <w:t xml:space="preserve"> pierwszym z badań wchodzących w skład osiągnięcia naukowego</w:t>
      </w:r>
      <w:r w:rsidR="00DD0418">
        <w:rPr>
          <w:rFonts w:ascii="Arial" w:hAnsi="Arial" w:cs="Arial"/>
        </w:rPr>
        <w:t>,</w:t>
      </w:r>
      <w:r>
        <w:rPr>
          <w:rFonts w:ascii="Arial" w:hAnsi="Arial" w:cs="Arial"/>
        </w:rPr>
        <w:t xml:space="preserve"> przeprowadzono  analizę   stężeń kortyzolu w surowicy</w:t>
      </w:r>
      <w:r w:rsidR="007A52E4">
        <w:rPr>
          <w:rFonts w:ascii="Arial" w:hAnsi="Arial" w:cs="Arial"/>
        </w:rPr>
        <w:t xml:space="preserve"> </w:t>
      </w:r>
      <w:r w:rsidR="001D39DE">
        <w:rPr>
          <w:rFonts w:ascii="Arial" w:hAnsi="Arial" w:cs="Arial"/>
        </w:rPr>
        <w:t xml:space="preserve">i w ślinie </w:t>
      </w:r>
      <w:r w:rsidR="007A52E4">
        <w:rPr>
          <w:rFonts w:ascii="Arial" w:hAnsi="Arial" w:cs="Arial"/>
        </w:rPr>
        <w:t xml:space="preserve">w godzinach porannych </w:t>
      </w:r>
      <w:r>
        <w:rPr>
          <w:rFonts w:ascii="Arial" w:hAnsi="Arial" w:cs="Arial"/>
        </w:rPr>
        <w:t>i w ślinie</w:t>
      </w:r>
      <w:r w:rsidR="007A52E4">
        <w:rPr>
          <w:rFonts w:ascii="Arial" w:hAnsi="Arial" w:cs="Arial"/>
        </w:rPr>
        <w:t xml:space="preserve"> </w:t>
      </w:r>
      <w:r w:rsidR="002342AE">
        <w:rPr>
          <w:rFonts w:ascii="Arial" w:hAnsi="Arial" w:cs="Arial"/>
        </w:rPr>
        <w:t xml:space="preserve">w godzinach </w:t>
      </w:r>
      <w:r w:rsidR="001D39DE">
        <w:rPr>
          <w:rFonts w:ascii="Arial" w:hAnsi="Arial" w:cs="Arial"/>
        </w:rPr>
        <w:t>późno</w:t>
      </w:r>
      <w:r w:rsidR="007A52E4">
        <w:rPr>
          <w:rFonts w:ascii="Arial" w:hAnsi="Arial" w:cs="Arial"/>
        </w:rPr>
        <w:t xml:space="preserve">wieczornych </w:t>
      </w:r>
      <w:r w:rsidR="00DD0418">
        <w:rPr>
          <w:rFonts w:ascii="Arial" w:hAnsi="Arial" w:cs="Arial"/>
        </w:rPr>
        <w:t xml:space="preserve">w trzech grupach: </w:t>
      </w:r>
      <w:r>
        <w:rPr>
          <w:rFonts w:ascii="Arial" w:hAnsi="Arial" w:cs="Arial"/>
        </w:rPr>
        <w:t xml:space="preserve">u </w:t>
      </w:r>
      <w:r w:rsidR="00920AA2">
        <w:rPr>
          <w:rFonts w:ascii="Arial" w:hAnsi="Arial" w:cs="Arial"/>
        </w:rPr>
        <w:t>kobiet</w:t>
      </w:r>
      <w:r w:rsidR="001D39DE">
        <w:rPr>
          <w:rFonts w:ascii="Arial" w:hAnsi="Arial" w:cs="Arial"/>
        </w:rPr>
        <w:t xml:space="preserve"> </w:t>
      </w:r>
      <w:r>
        <w:rPr>
          <w:rFonts w:ascii="Arial" w:hAnsi="Arial" w:cs="Arial"/>
        </w:rPr>
        <w:t>w ciąży - kolejnych trzech tr</w:t>
      </w:r>
      <w:r w:rsidR="001D39DE">
        <w:rPr>
          <w:rFonts w:ascii="Arial" w:hAnsi="Arial" w:cs="Arial"/>
        </w:rPr>
        <w:t xml:space="preserve">ymestrach i okresie poporodowym, </w:t>
      </w:r>
      <w:r>
        <w:rPr>
          <w:rFonts w:ascii="Arial" w:hAnsi="Arial" w:cs="Arial"/>
        </w:rPr>
        <w:t xml:space="preserve">u </w:t>
      </w:r>
      <w:r w:rsidR="00987432">
        <w:rPr>
          <w:rFonts w:ascii="Arial" w:hAnsi="Arial" w:cs="Arial"/>
        </w:rPr>
        <w:t>kobiet przyjmujących doustną tabletkę antykoncepcyjną</w:t>
      </w:r>
      <w:r w:rsidR="00B50C87">
        <w:rPr>
          <w:rFonts w:ascii="Arial" w:hAnsi="Arial" w:cs="Arial"/>
        </w:rPr>
        <w:t xml:space="preserve"> (DTA)</w:t>
      </w:r>
      <w:r w:rsidR="00D85742">
        <w:rPr>
          <w:rFonts w:ascii="Arial" w:hAnsi="Arial" w:cs="Arial"/>
        </w:rPr>
        <w:t xml:space="preserve"> oraz u zdrowych kobiet</w:t>
      </w:r>
      <w:r>
        <w:rPr>
          <w:rFonts w:ascii="Arial" w:hAnsi="Arial" w:cs="Arial"/>
        </w:rPr>
        <w:t xml:space="preserve">. </w:t>
      </w:r>
      <w:r w:rsidR="003013DB">
        <w:rPr>
          <w:rFonts w:ascii="Arial" w:hAnsi="Arial" w:cs="Arial"/>
        </w:rPr>
        <w:t xml:space="preserve"> Pomysł</w:t>
      </w:r>
      <w:r w:rsidR="007D0D38">
        <w:rPr>
          <w:rFonts w:ascii="Arial" w:hAnsi="Arial" w:cs="Arial"/>
        </w:rPr>
        <w:t xml:space="preserve"> przepr</w:t>
      </w:r>
      <w:r w:rsidR="003013DB">
        <w:rPr>
          <w:rFonts w:ascii="Arial" w:hAnsi="Arial" w:cs="Arial"/>
        </w:rPr>
        <w:t>owadzenia tego badania wyniknął</w:t>
      </w:r>
      <w:r w:rsidR="007D0D38">
        <w:rPr>
          <w:rFonts w:ascii="Arial" w:hAnsi="Arial" w:cs="Arial"/>
        </w:rPr>
        <w:t xml:space="preserve"> z potrzeby klinicznej </w:t>
      </w:r>
      <w:r w:rsidR="00987432">
        <w:rPr>
          <w:rFonts w:ascii="Arial" w:hAnsi="Arial" w:cs="Arial"/>
        </w:rPr>
        <w:t>i</w:t>
      </w:r>
      <w:r w:rsidR="007D0D38">
        <w:rPr>
          <w:rFonts w:ascii="Arial" w:hAnsi="Arial" w:cs="Arial"/>
        </w:rPr>
        <w:t xml:space="preserve">nterpretacji </w:t>
      </w:r>
      <w:r w:rsidR="003013DB">
        <w:rPr>
          <w:rFonts w:ascii="Arial" w:hAnsi="Arial" w:cs="Arial"/>
        </w:rPr>
        <w:t xml:space="preserve">wyników </w:t>
      </w:r>
      <w:r w:rsidR="007D0D38">
        <w:rPr>
          <w:rFonts w:ascii="Arial" w:hAnsi="Arial" w:cs="Arial"/>
        </w:rPr>
        <w:t xml:space="preserve">stężeń kortyzolu u kobiet w ciąży </w:t>
      </w:r>
      <w:r w:rsidR="00987432">
        <w:rPr>
          <w:rFonts w:ascii="Arial" w:hAnsi="Arial" w:cs="Arial"/>
        </w:rPr>
        <w:t>i przyjmujących doustną antykoncepcję</w:t>
      </w:r>
      <w:r w:rsidR="007A52E4">
        <w:rPr>
          <w:rFonts w:ascii="Arial" w:hAnsi="Arial" w:cs="Arial"/>
        </w:rPr>
        <w:t>,</w:t>
      </w:r>
      <w:r w:rsidR="00987432">
        <w:rPr>
          <w:rFonts w:ascii="Arial" w:hAnsi="Arial" w:cs="Arial"/>
        </w:rPr>
        <w:t xml:space="preserve"> </w:t>
      </w:r>
      <w:r w:rsidR="007D0D38">
        <w:rPr>
          <w:rFonts w:ascii="Arial" w:hAnsi="Arial" w:cs="Arial"/>
        </w:rPr>
        <w:t xml:space="preserve">podejrzewanych </w:t>
      </w:r>
      <w:r w:rsidR="0079052E">
        <w:rPr>
          <w:rFonts w:ascii="Arial" w:hAnsi="Arial" w:cs="Arial"/>
        </w:rPr>
        <w:t>o niedoczynność kory nadnerczy</w:t>
      </w:r>
      <w:r w:rsidR="00B50C87">
        <w:rPr>
          <w:rFonts w:ascii="Arial" w:hAnsi="Arial" w:cs="Arial"/>
        </w:rPr>
        <w:t xml:space="preserve"> (NKN)</w:t>
      </w:r>
      <w:r w:rsidR="0079052E">
        <w:rPr>
          <w:rFonts w:ascii="Arial" w:hAnsi="Arial" w:cs="Arial"/>
        </w:rPr>
        <w:t xml:space="preserve"> lub </w:t>
      </w:r>
      <w:r w:rsidR="007D0D38">
        <w:rPr>
          <w:rFonts w:ascii="Arial" w:hAnsi="Arial" w:cs="Arial"/>
        </w:rPr>
        <w:t>zespół Cushinga</w:t>
      </w:r>
      <w:r w:rsidR="00B50C87">
        <w:rPr>
          <w:rFonts w:ascii="Arial" w:hAnsi="Arial" w:cs="Arial"/>
        </w:rPr>
        <w:t xml:space="preserve"> (ZC)</w:t>
      </w:r>
      <w:r w:rsidR="001D39DE">
        <w:rPr>
          <w:rFonts w:ascii="Arial" w:hAnsi="Arial" w:cs="Arial"/>
        </w:rPr>
        <w:t xml:space="preserve"> i trudności z tym związanych</w:t>
      </w:r>
      <w:r w:rsidR="0079052E">
        <w:rPr>
          <w:rFonts w:ascii="Arial" w:hAnsi="Arial" w:cs="Arial"/>
        </w:rPr>
        <w:t>.</w:t>
      </w:r>
      <w:r w:rsidR="00B50C87">
        <w:rPr>
          <w:rFonts w:ascii="Arial" w:hAnsi="Arial" w:cs="Arial"/>
        </w:rPr>
        <w:t xml:space="preserve"> Dotychczas w zaleceniach Amerykańskiego Towarzystwa Endokrynologicznego w </w:t>
      </w:r>
      <w:r w:rsidR="0079052E">
        <w:rPr>
          <w:rFonts w:ascii="Arial" w:hAnsi="Arial" w:cs="Arial"/>
        </w:rPr>
        <w:t xml:space="preserve">diagnostyce </w:t>
      </w:r>
      <w:r w:rsidR="00807FF3">
        <w:rPr>
          <w:rFonts w:ascii="Arial" w:hAnsi="Arial" w:cs="Arial"/>
        </w:rPr>
        <w:t xml:space="preserve">NKN </w:t>
      </w:r>
      <w:r w:rsidR="00B50C87">
        <w:rPr>
          <w:rFonts w:ascii="Arial" w:hAnsi="Arial" w:cs="Arial"/>
        </w:rPr>
        <w:t xml:space="preserve">w ciąży zalecano wykorzystanie pomiaru porannego stężenia kortyzolu w surowicy a w diagnostyce </w:t>
      </w:r>
      <w:r w:rsidR="00807FF3">
        <w:rPr>
          <w:rFonts w:ascii="Arial" w:hAnsi="Arial" w:cs="Arial"/>
        </w:rPr>
        <w:t>ZC</w:t>
      </w:r>
      <w:r w:rsidR="00B50C87">
        <w:rPr>
          <w:rFonts w:ascii="Arial" w:hAnsi="Arial" w:cs="Arial"/>
        </w:rPr>
        <w:t xml:space="preserve"> ocenę wolnego kortyzolu w dobowej zbiórce moczu (</w:t>
      </w:r>
      <w:proofErr w:type="spellStart"/>
      <w:r w:rsidR="00B50C87" w:rsidRPr="00B50C87">
        <w:rPr>
          <w:rFonts w:ascii="Arial" w:hAnsi="Arial" w:cs="Arial"/>
          <w:i/>
        </w:rPr>
        <w:t>Endocrine</w:t>
      </w:r>
      <w:proofErr w:type="spellEnd"/>
      <w:r w:rsidR="00B50C87" w:rsidRPr="00B50C87">
        <w:rPr>
          <w:rFonts w:ascii="Arial" w:hAnsi="Arial" w:cs="Arial"/>
          <w:i/>
        </w:rPr>
        <w:t xml:space="preserve"> </w:t>
      </w:r>
      <w:proofErr w:type="spellStart"/>
      <w:r w:rsidR="00B50C87" w:rsidRPr="00B50C87">
        <w:rPr>
          <w:rFonts w:ascii="Arial" w:hAnsi="Arial" w:cs="Arial"/>
          <w:i/>
        </w:rPr>
        <w:t>Society</w:t>
      </w:r>
      <w:proofErr w:type="spellEnd"/>
      <w:r w:rsidR="001206BD">
        <w:rPr>
          <w:rFonts w:ascii="Arial" w:hAnsi="Arial" w:cs="Arial"/>
          <w:i/>
        </w:rPr>
        <w:t xml:space="preserve"> </w:t>
      </w:r>
      <w:proofErr w:type="spellStart"/>
      <w:r w:rsidR="001206BD">
        <w:rPr>
          <w:rFonts w:ascii="Arial" w:hAnsi="Arial" w:cs="Arial"/>
          <w:i/>
        </w:rPr>
        <w:t>gui</w:t>
      </w:r>
      <w:r w:rsidR="00B50C87" w:rsidRPr="00B50C87">
        <w:rPr>
          <w:rFonts w:ascii="Arial" w:hAnsi="Arial" w:cs="Arial"/>
          <w:i/>
        </w:rPr>
        <w:t>delines</w:t>
      </w:r>
      <w:proofErr w:type="spellEnd"/>
      <w:r w:rsidR="00B50C87">
        <w:rPr>
          <w:rFonts w:ascii="Arial" w:hAnsi="Arial" w:cs="Arial"/>
          <w:i/>
        </w:rPr>
        <w:t xml:space="preserve"> </w:t>
      </w:r>
      <w:r w:rsidR="00B50C87" w:rsidRPr="00AB05A5">
        <w:rPr>
          <w:rFonts w:ascii="Arial" w:hAnsi="Arial" w:cs="Arial"/>
          <w:i/>
        </w:rPr>
        <w:t>20</w:t>
      </w:r>
      <w:r w:rsidR="00AB05A5" w:rsidRPr="00AB05A5">
        <w:rPr>
          <w:rFonts w:ascii="Arial" w:hAnsi="Arial" w:cs="Arial"/>
          <w:i/>
        </w:rPr>
        <w:t>16</w:t>
      </w:r>
      <w:r w:rsidR="00B50C87" w:rsidRPr="00AB05A5">
        <w:rPr>
          <w:rFonts w:ascii="Arial" w:hAnsi="Arial" w:cs="Arial"/>
          <w:i/>
        </w:rPr>
        <w:t>, 20</w:t>
      </w:r>
      <w:r w:rsidR="00AB05A5" w:rsidRPr="00AB05A5">
        <w:rPr>
          <w:rFonts w:ascii="Arial" w:hAnsi="Arial" w:cs="Arial"/>
          <w:i/>
        </w:rPr>
        <w:t>08</w:t>
      </w:r>
      <w:r w:rsidR="00B50C87" w:rsidRPr="00AB05A5">
        <w:rPr>
          <w:rFonts w:ascii="Arial" w:hAnsi="Arial" w:cs="Arial"/>
        </w:rPr>
        <w:t>).</w:t>
      </w:r>
      <w:r w:rsidR="00B50C87">
        <w:rPr>
          <w:rFonts w:ascii="Arial" w:hAnsi="Arial" w:cs="Arial"/>
        </w:rPr>
        <w:t xml:space="preserve"> </w:t>
      </w:r>
      <w:r w:rsidR="0079052E">
        <w:rPr>
          <w:rFonts w:ascii="Arial" w:hAnsi="Arial" w:cs="Arial"/>
        </w:rPr>
        <w:t xml:space="preserve">W </w:t>
      </w:r>
      <w:r w:rsidR="00B50C87">
        <w:rPr>
          <w:rFonts w:ascii="Arial" w:hAnsi="Arial" w:cs="Arial"/>
        </w:rPr>
        <w:t xml:space="preserve">przeprowadzonym </w:t>
      </w:r>
      <w:r w:rsidR="0079052E">
        <w:rPr>
          <w:rFonts w:ascii="Arial" w:hAnsi="Arial" w:cs="Arial"/>
        </w:rPr>
        <w:t>badaniu wykazano, że</w:t>
      </w:r>
      <w:r w:rsidR="007A52E4">
        <w:rPr>
          <w:rFonts w:ascii="Arial" w:hAnsi="Arial" w:cs="Arial"/>
        </w:rPr>
        <w:t xml:space="preserve"> </w:t>
      </w:r>
      <w:r w:rsidR="0079052E">
        <w:rPr>
          <w:rFonts w:ascii="Arial" w:hAnsi="Arial" w:cs="Arial"/>
        </w:rPr>
        <w:t xml:space="preserve">poranne </w:t>
      </w:r>
      <w:r w:rsidR="007A52E4">
        <w:rPr>
          <w:rFonts w:ascii="Arial" w:hAnsi="Arial" w:cs="Arial"/>
        </w:rPr>
        <w:t xml:space="preserve">stężenie kortyzolu w surowicy istotnie wzrasta w </w:t>
      </w:r>
      <w:r w:rsidR="0079052E">
        <w:rPr>
          <w:rFonts w:ascii="Arial" w:hAnsi="Arial" w:cs="Arial"/>
        </w:rPr>
        <w:t xml:space="preserve">drugim i </w:t>
      </w:r>
      <w:r w:rsidR="007A52E4">
        <w:rPr>
          <w:rFonts w:ascii="Arial" w:hAnsi="Arial" w:cs="Arial"/>
        </w:rPr>
        <w:t>trzecim</w:t>
      </w:r>
      <w:r w:rsidR="0079052E">
        <w:rPr>
          <w:rFonts w:ascii="Arial" w:hAnsi="Arial" w:cs="Arial"/>
        </w:rPr>
        <w:t xml:space="preserve"> trymestrze ciąży oraz u kobiet w trakcie doustnej antykoncepcji w porównaniu z grupą kontrolną zdrowych kobiet</w:t>
      </w:r>
      <w:r w:rsidR="00B50C87">
        <w:rPr>
          <w:rFonts w:ascii="Arial" w:hAnsi="Arial" w:cs="Arial"/>
        </w:rPr>
        <w:t xml:space="preserve">, co wobec </w:t>
      </w:r>
      <w:r w:rsidR="001206BD">
        <w:rPr>
          <w:rFonts w:ascii="Arial" w:hAnsi="Arial" w:cs="Arial"/>
        </w:rPr>
        <w:t xml:space="preserve">dotychczasowego </w:t>
      </w:r>
      <w:r w:rsidR="00B50C87">
        <w:rPr>
          <w:rFonts w:ascii="Arial" w:hAnsi="Arial" w:cs="Arial"/>
        </w:rPr>
        <w:t xml:space="preserve">braku norm </w:t>
      </w:r>
      <w:r w:rsidR="005F64C9">
        <w:rPr>
          <w:rFonts w:ascii="Arial" w:hAnsi="Arial" w:cs="Arial"/>
        </w:rPr>
        <w:t xml:space="preserve">kortyzolu w surowicy </w:t>
      </w:r>
      <w:r w:rsidR="00B50C87">
        <w:rPr>
          <w:rFonts w:ascii="Arial" w:hAnsi="Arial" w:cs="Arial"/>
        </w:rPr>
        <w:t>d</w:t>
      </w:r>
      <w:r w:rsidR="001206BD">
        <w:rPr>
          <w:rFonts w:ascii="Arial" w:hAnsi="Arial" w:cs="Arial"/>
        </w:rPr>
        <w:t>la kobiet w ciąż</w:t>
      </w:r>
      <w:r w:rsidR="00B50C87">
        <w:rPr>
          <w:rFonts w:ascii="Arial" w:hAnsi="Arial" w:cs="Arial"/>
        </w:rPr>
        <w:t>y</w:t>
      </w:r>
      <w:r w:rsidR="001206BD">
        <w:rPr>
          <w:rFonts w:ascii="Arial" w:hAnsi="Arial" w:cs="Arial"/>
        </w:rPr>
        <w:t xml:space="preserve"> i przyjmujących DTA </w:t>
      </w:r>
      <w:r w:rsidR="001D39DE">
        <w:rPr>
          <w:rFonts w:ascii="Arial" w:hAnsi="Arial" w:cs="Arial"/>
        </w:rPr>
        <w:t>mogło</w:t>
      </w:r>
      <w:r w:rsidR="001206BD">
        <w:rPr>
          <w:rFonts w:ascii="Arial" w:hAnsi="Arial" w:cs="Arial"/>
        </w:rPr>
        <w:t xml:space="preserve"> doprowadzać do niewłaściwej diagnozy - prawidłowej funkcji nadnerczy</w:t>
      </w:r>
      <w:r w:rsidR="001D39DE">
        <w:rPr>
          <w:rFonts w:ascii="Arial" w:hAnsi="Arial" w:cs="Arial"/>
        </w:rPr>
        <w:t xml:space="preserve">, przy istniejącej </w:t>
      </w:r>
      <w:r w:rsidR="00807FF3">
        <w:rPr>
          <w:rFonts w:ascii="Arial" w:hAnsi="Arial" w:cs="Arial"/>
        </w:rPr>
        <w:t>NKN</w:t>
      </w:r>
      <w:r w:rsidR="001206BD">
        <w:rPr>
          <w:rFonts w:ascii="Arial" w:hAnsi="Arial" w:cs="Arial"/>
        </w:rPr>
        <w:t>.</w:t>
      </w:r>
      <w:r w:rsidR="0079052E">
        <w:rPr>
          <w:rFonts w:ascii="Arial" w:hAnsi="Arial" w:cs="Arial"/>
        </w:rPr>
        <w:t xml:space="preserve"> Poranne  </w:t>
      </w:r>
      <w:r w:rsidR="00061AC8">
        <w:rPr>
          <w:rFonts w:ascii="Arial" w:hAnsi="Arial" w:cs="Arial"/>
        </w:rPr>
        <w:t>stężenie kortyzolu w ślinie</w:t>
      </w:r>
      <w:r w:rsidR="001D39DE">
        <w:rPr>
          <w:rFonts w:ascii="Arial" w:hAnsi="Arial" w:cs="Arial"/>
        </w:rPr>
        <w:t>, a więc wolnego kortyzolu</w:t>
      </w:r>
      <w:r w:rsidR="00061AC8">
        <w:rPr>
          <w:rFonts w:ascii="Arial" w:hAnsi="Arial" w:cs="Arial"/>
        </w:rPr>
        <w:t xml:space="preserve"> </w:t>
      </w:r>
      <w:r w:rsidR="001D39DE">
        <w:rPr>
          <w:rFonts w:ascii="Arial" w:hAnsi="Arial" w:cs="Arial"/>
        </w:rPr>
        <w:t>niezwiązanego z białkami,</w:t>
      </w:r>
      <w:r w:rsidR="00061AC8">
        <w:rPr>
          <w:rFonts w:ascii="Arial" w:hAnsi="Arial" w:cs="Arial"/>
        </w:rPr>
        <w:t xml:space="preserve"> </w:t>
      </w:r>
      <w:r w:rsidR="001D39DE">
        <w:rPr>
          <w:rFonts w:ascii="Arial" w:hAnsi="Arial" w:cs="Arial"/>
        </w:rPr>
        <w:t xml:space="preserve">nie </w:t>
      </w:r>
      <w:r w:rsidR="00061AC8">
        <w:rPr>
          <w:rFonts w:ascii="Arial" w:hAnsi="Arial" w:cs="Arial"/>
        </w:rPr>
        <w:t>różniło się natomiast istotnie pomiędzy stężeniami</w:t>
      </w:r>
      <w:r w:rsidR="00807FF3">
        <w:rPr>
          <w:rFonts w:ascii="Arial" w:hAnsi="Arial" w:cs="Arial"/>
        </w:rPr>
        <w:t xml:space="preserve"> uzyskanymi u kobiet zdrowych, </w:t>
      </w:r>
      <w:r w:rsidR="00061AC8">
        <w:rPr>
          <w:rFonts w:ascii="Arial" w:hAnsi="Arial" w:cs="Arial"/>
        </w:rPr>
        <w:t xml:space="preserve">będących w ciąży oraz przyjmujących doustną antykoncepcję. </w:t>
      </w:r>
      <w:r w:rsidR="001206BD">
        <w:rPr>
          <w:rFonts w:ascii="Arial" w:hAnsi="Arial" w:cs="Arial"/>
        </w:rPr>
        <w:t xml:space="preserve">Zauważono jednak dyskretną tendencję wzrostową wartości kortyzolu w trzecim trymestrze, podobnie jak i autorzy innego badania </w:t>
      </w:r>
      <w:r w:rsidR="001206BD" w:rsidRPr="001D39DE">
        <w:rPr>
          <w:rFonts w:ascii="Arial" w:hAnsi="Arial" w:cs="Arial"/>
        </w:rPr>
        <w:t>(</w:t>
      </w:r>
      <w:proofErr w:type="spellStart"/>
      <w:r w:rsidR="00172092" w:rsidRPr="001D39DE">
        <w:rPr>
          <w:rFonts w:ascii="Arial" w:hAnsi="Arial" w:cs="Arial"/>
          <w:i/>
        </w:rPr>
        <w:t>Lopes</w:t>
      </w:r>
      <w:proofErr w:type="spellEnd"/>
      <w:r w:rsidR="00172092" w:rsidRPr="001D39DE">
        <w:rPr>
          <w:rFonts w:ascii="Arial" w:hAnsi="Arial" w:cs="Arial"/>
          <w:i/>
        </w:rPr>
        <w:t xml:space="preserve"> i </w:t>
      </w:r>
      <w:proofErr w:type="spellStart"/>
      <w:r w:rsidR="00172092" w:rsidRPr="001D39DE">
        <w:rPr>
          <w:rFonts w:ascii="Arial" w:hAnsi="Arial" w:cs="Arial"/>
          <w:i/>
        </w:rPr>
        <w:t>wsp</w:t>
      </w:r>
      <w:proofErr w:type="spellEnd"/>
      <w:r w:rsidR="00172092" w:rsidRPr="001D39DE">
        <w:rPr>
          <w:rFonts w:ascii="Arial" w:hAnsi="Arial" w:cs="Arial"/>
          <w:i/>
        </w:rPr>
        <w:t>.</w:t>
      </w:r>
      <w:r w:rsidR="001D39DE" w:rsidRPr="001D39DE">
        <w:rPr>
          <w:rFonts w:ascii="Arial" w:hAnsi="Arial" w:cs="Arial"/>
          <w:i/>
        </w:rPr>
        <w:t xml:space="preserve">, </w:t>
      </w:r>
      <w:proofErr w:type="spellStart"/>
      <w:r w:rsidR="001D39DE" w:rsidRPr="001D39DE">
        <w:rPr>
          <w:rFonts w:ascii="Arial" w:hAnsi="Arial" w:cs="Arial"/>
          <w:i/>
        </w:rPr>
        <w:t>Pituitary</w:t>
      </w:r>
      <w:proofErr w:type="spellEnd"/>
      <w:r w:rsidR="001D39DE" w:rsidRPr="001D39DE">
        <w:rPr>
          <w:rFonts w:ascii="Arial" w:hAnsi="Arial" w:cs="Arial"/>
          <w:i/>
        </w:rPr>
        <w:t xml:space="preserve"> 2016</w:t>
      </w:r>
      <w:r w:rsidR="00172092" w:rsidRPr="001D39DE">
        <w:rPr>
          <w:rFonts w:ascii="Arial" w:hAnsi="Arial" w:cs="Arial"/>
        </w:rPr>
        <w:t>).</w:t>
      </w:r>
      <w:r w:rsidR="00172092">
        <w:rPr>
          <w:rFonts w:ascii="Arial" w:hAnsi="Arial" w:cs="Arial"/>
        </w:rPr>
        <w:t xml:space="preserve"> </w:t>
      </w:r>
    </w:p>
    <w:p w:rsidR="00172092" w:rsidRPr="001233A4" w:rsidRDefault="00953420" w:rsidP="001F43F1">
      <w:pPr>
        <w:spacing w:line="360" w:lineRule="auto"/>
        <w:jc w:val="both"/>
        <w:rPr>
          <w:rFonts w:ascii="Arial" w:hAnsi="Arial" w:cs="Arial"/>
        </w:rPr>
      </w:pPr>
      <w:r>
        <w:rPr>
          <w:rFonts w:ascii="Arial" w:hAnsi="Arial" w:cs="Arial"/>
        </w:rPr>
        <w:t xml:space="preserve">Późnowieczorne stężenie kortyzolu w ślinie  jest uznane za jeden z testów przesiewowych w diagnostyce </w:t>
      </w:r>
      <w:proofErr w:type="spellStart"/>
      <w:r>
        <w:rPr>
          <w:rFonts w:ascii="Arial" w:hAnsi="Arial" w:cs="Arial"/>
        </w:rPr>
        <w:t>hiperkortyzolemii</w:t>
      </w:r>
      <w:proofErr w:type="spellEnd"/>
      <w:r w:rsidR="001D39DE">
        <w:rPr>
          <w:rFonts w:ascii="Arial" w:hAnsi="Arial" w:cs="Arial"/>
        </w:rPr>
        <w:t xml:space="preserve"> przez </w:t>
      </w:r>
      <w:proofErr w:type="spellStart"/>
      <w:r w:rsidR="001D39DE" w:rsidRPr="001D39DE">
        <w:rPr>
          <w:rFonts w:ascii="Arial" w:hAnsi="Arial" w:cs="Arial"/>
          <w:i/>
        </w:rPr>
        <w:t>Endo</w:t>
      </w:r>
      <w:r w:rsidR="001D39DE">
        <w:rPr>
          <w:rFonts w:ascii="Arial" w:hAnsi="Arial" w:cs="Arial"/>
          <w:i/>
        </w:rPr>
        <w:t>c</w:t>
      </w:r>
      <w:r w:rsidR="001D39DE" w:rsidRPr="001D39DE">
        <w:rPr>
          <w:rFonts w:ascii="Arial" w:hAnsi="Arial" w:cs="Arial"/>
          <w:i/>
        </w:rPr>
        <w:t>rine</w:t>
      </w:r>
      <w:proofErr w:type="spellEnd"/>
      <w:r w:rsidR="001D39DE" w:rsidRPr="001D39DE">
        <w:rPr>
          <w:rFonts w:ascii="Arial" w:hAnsi="Arial" w:cs="Arial"/>
          <w:i/>
        </w:rPr>
        <w:t xml:space="preserve"> </w:t>
      </w:r>
      <w:proofErr w:type="spellStart"/>
      <w:r w:rsidR="001D39DE" w:rsidRPr="001D39DE">
        <w:rPr>
          <w:rFonts w:ascii="Arial" w:hAnsi="Arial" w:cs="Arial"/>
          <w:i/>
        </w:rPr>
        <w:t>Society</w:t>
      </w:r>
      <w:proofErr w:type="spellEnd"/>
      <w:r>
        <w:rPr>
          <w:rFonts w:ascii="Arial" w:hAnsi="Arial" w:cs="Arial"/>
        </w:rPr>
        <w:t xml:space="preserve">. </w:t>
      </w:r>
      <w:r w:rsidR="00172092">
        <w:rPr>
          <w:rFonts w:ascii="Arial" w:hAnsi="Arial" w:cs="Arial"/>
        </w:rPr>
        <w:t xml:space="preserve">Pomiary stężeń kortyzolu w ślinie w godzinach późnowieczornych  </w:t>
      </w:r>
      <w:r w:rsidR="00F44320">
        <w:rPr>
          <w:rFonts w:ascii="Arial" w:hAnsi="Arial" w:cs="Arial"/>
        </w:rPr>
        <w:t xml:space="preserve">również nie różniły się istotnie pomiędzy zdrowymi kobietami oraz będącymi w ciąży </w:t>
      </w:r>
      <w:r w:rsidR="00731E4F">
        <w:rPr>
          <w:rFonts w:ascii="Arial" w:hAnsi="Arial" w:cs="Arial"/>
        </w:rPr>
        <w:t xml:space="preserve">i </w:t>
      </w:r>
      <w:r w:rsidR="00296DC8">
        <w:rPr>
          <w:rFonts w:ascii="Arial" w:hAnsi="Arial" w:cs="Arial"/>
        </w:rPr>
        <w:t xml:space="preserve">przyjmującymi DTA, chociaż ponownie zauważono </w:t>
      </w:r>
      <w:r w:rsidR="00731E4F">
        <w:rPr>
          <w:rFonts w:ascii="Arial" w:hAnsi="Arial" w:cs="Arial"/>
        </w:rPr>
        <w:t>tendencję</w:t>
      </w:r>
      <w:r w:rsidR="00296DC8">
        <w:rPr>
          <w:rFonts w:ascii="Arial" w:hAnsi="Arial" w:cs="Arial"/>
        </w:rPr>
        <w:t xml:space="preserve"> </w:t>
      </w:r>
      <w:r w:rsidR="00296DC8">
        <w:rPr>
          <w:rFonts w:ascii="Arial" w:hAnsi="Arial" w:cs="Arial"/>
        </w:rPr>
        <w:lastRenderedPageBreak/>
        <w:t>wzrostow</w:t>
      </w:r>
      <w:r w:rsidR="00731E4F">
        <w:rPr>
          <w:rFonts w:ascii="Arial" w:hAnsi="Arial" w:cs="Arial"/>
        </w:rPr>
        <w:t>ą</w:t>
      </w:r>
      <w:r w:rsidR="00296DC8">
        <w:rPr>
          <w:rFonts w:ascii="Arial" w:hAnsi="Arial" w:cs="Arial"/>
        </w:rPr>
        <w:t xml:space="preserve"> w trzecim trymestrze ciąży. Uznano więc, że </w:t>
      </w:r>
      <w:r w:rsidR="00311D56">
        <w:rPr>
          <w:rFonts w:ascii="Arial" w:hAnsi="Arial" w:cs="Arial"/>
        </w:rPr>
        <w:t>ocena</w:t>
      </w:r>
      <w:r w:rsidR="00956979">
        <w:rPr>
          <w:rFonts w:ascii="Arial" w:hAnsi="Arial" w:cs="Arial"/>
        </w:rPr>
        <w:t xml:space="preserve"> </w:t>
      </w:r>
      <w:r w:rsidR="00311D56">
        <w:rPr>
          <w:rFonts w:ascii="Arial" w:hAnsi="Arial" w:cs="Arial"/>
        </w:rPr>
        <w:t xml:space="preserve">stężenia </w:t>
      </w:r>
      <w:r w:rsidR="00296DC8">
        <w:rPr>
          <w:rFonts w:ascii="Arial" w:hAnsi="Arial" w:cs="Arial"/>
        </w:rPr>
        <w:t>kortyzol</w:t>
      </w:r>
      <w:r w:rsidR="00956979">
        <w:rPr>
          <w:rFonts w:ascii="Arial" w:hAnsi="Arial" w:cs="Arial"/>
        </w:rPr>
        <w:t>u</w:t>
      </w:r>
      <w:r w:rsidR="00296DC8">
        <w:rPr>
          <w:rFonts w:ascii="Arial" w:hAnsi="Arial" w:cs="Arial"/>
        </w:rPr>
        <w:t xml:space="preserve"> w ślinie jest dobrym narzędziem diagnostycznym </w:t>
      </w:r>
      <w:r w:rsidR="00F63CD6">
        <w:rPr>
          <w:rFonts w:ascii="Arial" w:hAnsi="Arial" w:cs="Arial"/>
        </w:rPr>
        <w:t xml:space="preserve">do </w:t>
      </w:r>
      <w:r w:rsidR="001233A4">
        <w:rPr>
          <w:rFonts w:ascii="Arial" w:hAnsi="Arial" w:cs="Arial"/>
        </w:rPr>
        <w:t>wykluczenia</w:t>
      </w:r>
      <w:r w:rsidR="00F63CD6">
        <w:rPr>
          <w:rFonts w:ascii="Arial" w:hAnsi="Arial" w:cs="Arial"/>
        </w:rPr>
        <w:t xml:space="preserve"> </w:t>
      </w:r>
      <w:r w:rsidR="00731E4F">
        <w:rPr>
          <w:rFonts w:ascii="Arial" w:hAnsi="Arial" w:cs="Arial"/>
        </w:rPr>
        <w:t>zaburzeń wy</w:t>
      </w:r>
      <w:r w:rsidR="004346B4">
        <w:rPr>
          <w:rFonts w:ascii="Arial" w:hAnsi="Arial" w:cs="Arial"/>
        </w:rPr>
        <w:t xml:space="preserve">dzielania kortyzolu </w:t>
      </w:r>
      <w:r>
        <w:rPr>
          <w:rFonts w:ascii="Arial" w:hAnsi="Arial" w:cs="Arial"/>
        </w:rPr>
        <w:t xml:space="preserve"> u kobiet w ciąży i na DTA oraz</w:t>
      </w:r>
      <w:r w:rsidR="007B5264">
        <w:rPr>
          <w:rFonts w:ascii="Arial" w:hAnsi="Arial" w:cs="Arial"/>
        </w:rPr>
        <w:t xml:space="preserve">, </w:t>
      </w:r>
      <w:r>
        <w:rPr>
          <w:rFonts w:ascii="Arial" w:hAnsi="Arial" w:cs="Arial"/>
        </w:rPr>
        <w:t xml:space="preserve"> że w przypadku </w:t>
      </w:r>
      <w:r w:rsidR="007B5264">
        <w:rPr>
          <w:rFonts w:ascii="Arial" w:hAnsi="Arial" w:cs="Arial"/>
        </w:rPr>
        <w:t xml:space="preserve">stężeń </w:t>
      </w:r>
      <w:r>
        <w:rPr>
          <w:rFonts w:ascii="Arial" w:hAnsi="Arial" w:cs="Arial"/>
        </w:rPr>
        <w:t>kortyzolu w ślinie normy</w:t>
      </w:r>
      <w:r w:rsidR="007B5264">
        <w:rPr>
          <w:rFonts w:ascii="Arial" w:hAnsi="Arial" w:cs="Arial"/>
        </w:rPr>
        <w:t xml:space="preserve"> dla danego testu ustalone d</w:t>
      </w:r>
      <w:r>
        <w:rPr>
          <w:rFonts w:ascii="Arial" w:hAnsi="Arial" w:cs="Arial"/>
        </w:rPr>
        <w:t>l</w:t>
      </w:r>
      <w:r w:rsidR="007B5264">
        <w:rPr>
          <w:rFonts w:ascii="Arial" w:hAnsi="Arial" w:cs="Arial"/>
        </w:rPr>
        <w:t>a</w:t>
      </w:r>
      <w:r>
        <w:rPr>
          <w:rFonts w:ascii="Arial" w:hAnsi="Arial" w:cs="Arial"/>
        </w:rPr>
        <w:t xml:space="preserve"> kobiet zdrowych mogą być wykorzystywane także w ciąży </w:t>
      </w:r>
      <w:r w:rsidR="007B51BC">
        <w:rPr>
          <w:rFonts w:ascii="Arial" w:hAnsi="Arial" w:cs="Arial"/>
        </w:rPr>
        <w:t>oraz u kobiet w trakcie DTA</w:t>
      </w:r>
      <w:r>
        <w:rPr>
          <w:rFonts w:ascii="Arial" w:hAnsi="Arial" w:cs="Arial"/>
        </w:rPr>
        <w:t>.</w:t>
      </w:r>
      <w:r w:rsidR="00731E4F">
        <w:rPr>
          <w:rFonts w:ascii="Arial" w:hAnsi="Arial" w:cs="Arial"/>
        </w:rPr>
        <w:t xml:space="preserve">  </w:t>
      </w:r>
      <w:r w:rsidR="007B51BC">
        <w:rPr>
          <w:rFonts w:ascii="Arial" w:hAnsi="Arial" w:cs="Arial"/>
        </w:rPr>
        <w:t>W</w:t>
      </w:r>
      <w:r w:rsidR="00172092">
        <w:rPr>
          <w:rFonts w:ascii="Arial" w:hAnsi="Arial" w:cs="Arial"/>
        </w:rPr>
        <w:t xml:space="preserve"> </w:t>
      </w:r>
      <w:r w:rsidR="001C0A40" w:rsidRPr="004346B4">
        <w:rPr>
          <w:rFonts w:ascii="Arial" w:hAnsi="Arial" w:cs="Arial"/>
        </w:rPr>
        <w:t>t</w:t>
      </w:r>
      <w:r w:rsidR="00172092" w:rsidRPr="004346B4">
        <w:rPr>
          <w:rFonts w:ascii="Arial" w:hAnsi="Arial" w:cs="Arial"/>
        </w:rPr>
        <w:t xml:space="preserve">abeli </w:t>
      </w:r>
      <w:r w:rsidR="00DD0418">
        <w:rPr>
          <w:rFonts w:ascii="Arial" w:hAnsi="Arial" w:cs="Arial"/>
        </w:rPr>
        <w:t xml:space="preserve">2. w publikacji, </w:t>
      </w:r>
      <w:r w:rsidR="007B51BC">
        <w:rPr>
          <w:rFonts w:ascii="Arial" w:hAnsi="Arial" w:cs="Arial"/>
        </w:rPr>
        <w:t xml:space="preserve">przedstawiono stężenia kortyzolu </w:t>
      </w:r>
      <w:r w:rsidR="007B5264">
        <w:rPr>
          <w:rFonts w:ascii="Arial" w:hAnsi="Arial" w:cs="Arial"/>
        </w:rPr>
        <w:t xml:space="preserve">w </w:t>
      </w:r>
      <w:r w:rsidR="004346B4">
        <w:rPr>
          <w:rFonts w:ascii="Arial" w:hAnsi="Arial" w:cs="Arial"/>
        </w:rPr>
        <w:t>surowicy</w:t>
      </w:r>
      <w:r w:rsidR="00172092">
        <w:rPr>
          <w:rFonts w:ascii="Arial" w:hAnsi="Arial" w:cs="Arial"/>
        </w:rPr>
        <w:t xml:space="preserve"> </w:t>
      </w:r>
      <w:r w:rsidR="003013DB">
        <w:rPr>
          <w:rFonts w:ascii="Arial" w:hAnsi="Arial" w:cs="Arial"/>
        </w:rPr>
        <w:t xml:space="preserve">oraz w ślinie </w:t>
      </w:r>
      <w:r w:rsidR="00172092">
        <w:rPr>
          <w:rFonts w:ascii="Arial" w:hAnsi="Arial" w:cs="Arial"/>
        </w:rPr>
        <w:t xml:space="preserve">dla </w:t>
      </w:r>
      <w:r w:rsidR="0033721B">
        <w:rPr>
          <w:rFonts w:ascii="Arial" w:hAnsi="Arial" w:cs="Arial"/>
        </w:rPr>
        <w:t xml:space="preserve">zdrowych kobiet, </w:t>
      </w:r>
      <w:r w:rsidR="00172092">
        <w:rPr>
          <w:rFonts w:ascii="Arial" w:hAnsi="Arial" w:cs="Arial"/>
        </w:rPr>
        <w:t>kobiet w ciąży i na DTA</w:t>
      </w:r>
      <w:r w:rsidR="00E1334D">
        <w:rPr>
          <w:rFonts w:ascii="Arial" w:hAnsi="Arial" w:cs="Arial"/>
        </w:rPr>
        <w:t>, co jest szczególnie przydatne przy interpretacji wyników u kobiet w poszczególnych trymestrach</w:t>
      </w:r>
      <w:r w:rsidR="004346B4">
        <w:rPr>
          <w:rFonts w:ascii="Arial" w:hAnsi="Arial" w:cs="Arial"/>
        </w:rPr>
        <w:t xml:space="preserve"> </w:t>
      </w:r>
      <w:r w:rsidR="003013DB">
        <w:rPr>
          <w:rFonts w:ascii="Arial" w:hAnsi="Arial" w:cs="Arial"/>
        </w:rPr>
        <w:t xml:space="preserve">ciąży i na DTA </w:t>
      </w:r>
      <w:r w:rsidR="004346B4">
        <w:rPr>
          <w:rFonts w:ascii="Arial" w:hAnsi="Arial" w:cs="Arial"/>
        </w:rPr>
        <w:t>w codziennej praktyce</w:t>
      </w:r>
      <w:r w:rsidR="00E1334D">
        <w:rPr>
          <w:rFonts w:ascii="Arial" w:hAnsi="Arial" w:cs="Arial"/>
        </w:rPr>
        <w:t>.</w:t>
      </w:r>
      <w:r w:rsidR="00172092">
        <w:rPr>
          <w:rFonts w:ascii="Arial" w:hAnsi="Arial" w:cs="Arial"/>
        </w:rPr>
        <w:t xml:space="preserve"> </w:t>
      </w:r>
      <w:r w:rsidR="00A810A0" w:rsidRPr="00A810A0">
        <w:rPr>
          <w:rFonts w:ascii="Arial" w:hAnsi="Arial" w:cs="Arial"/>
        </w:rPr>
        <w:t xml:space="preserve">Praca ta została zacytowana </w:t>
      </w:r>
      <w:r w:rsidR="00A810A0">
        <w:rPr>
          <w:rFonts w:ascii="Arial" w:hAnsi="Arial" w:cs="Arial"/>
        </w:rPr>
        <w:t xml:space="preserve">w przez autorów pracy poglądowej </w:t>
      </w:r>
      <w:proofErr w:type="spellStart"/>
      <w:r w:rsidR="001233A4">
        <w:rPr>
          <w:rFonts w:ascii="Arial" w:hAnsi="Arial" w:cs="Arial"/>
        </w:rPr>
        <w:t>Langlois</w:t>
      </w:r>
      <w:proofErr w:type="spellEnd"/>
      <w:r w:rsidR="001233A4">
        <w:rPr>
          <w:rFonts w:ascii="Arial" w:hAnsi="Arial" w:cs="Arial"/>
        </w:rPr>
        <w:t xml:space="preserve"> F i </w:t>
      </w:r>
      <w:proofErr w:type="spellStart"/>
      <w:r w:rsidR="001233A4">
        <w:rPr>
          <w:rFonts w:ascii="Arial" w:hAnsi="Arial" w:cs="Arial"/>
        </w:rPr>
        <w:t>wsp</w:t>
      </w:r>
      <w:proofErr w:type="spellEnd"/>
      <w:r w:rsidR="001233A4">
        <w:rPr>
          <w:rFonts w:ascii="Arial" w:hAnsi="Arial" w:cs="Arial"/>
        </w:rPr>
        <w:t>.:</w:t>
      </w:r>
      <w:r w:rsidR="001233A4" w:rsidRPr="00EF11A7">
        <w:rPr>
          <w:rFonts w:ascii="Arial" w:hAnsi="Arial" w:cs="Arial"/>
        </w:rPr>
        <w:t xml:space="preserve"> </w:t>
      </w:r>
      <w:r w:rsidR="00A810A0" w:rsidRPr="001233A4">
        <w:rPr>
          <w:rFonts w:ascii="Arial" w:hAnsi="Arial" w:cs="Arial"/>
        </w:rPr>
        <w:t>„</w:t>
      </w:r>
      <w:proofErr w:type="spellStart"/>
      <w:r w:rsidR="00A810A0" w:rsidRPr="001233A4">
        <w:rPr>
          <w:rFonts w:ascii="Arial" w:hAnsi="Arial" w:cs="Arial"/>
        </w:rPr>
        <w:t>Update</w:t>
      </w:r>
      <w:proofErr w:type="spellEnd"/>
      <w:r w:rsidR="00A810A0" w:rsidRPr="001233A4">
        <w:rPr>
          <w:rFonts w:ascii="Arial" w:hAnsi="Arial" w:cs="Arial"/>
        </w:rPr>
        <w:t xml:space="preserve"> on </w:t>
      </w:r>
      <w:proofErr w:type="spellStart"/>
      <w:r w:rsidR="00A810A0" w:rsidRPr="001233A4">
        <w:rPr>
          <w:rFonts w:ascii="Arial" w:hAnsi="Arial" w:cs="Arial"/>
        </w:rPr>
        <w:t>adrenal</w:t>
      </w:r>
      <w:proofErr w:type="spellEnd"/>
      <w:r w:rsidR="00A810A0" w:rsidRPr="001233A4">
        <w:rPr>
          <w:rFonts w:ascii="Arial" w:hAnsi="Arial" w:cs="Arial"/>
        </w:rPr>
        <w:t xml:space="preserve"> </w:t>
      </w:r>
      <w:proofErr w:type="spellStart"/>
      <w:r w:rsidR="00A810A0" w:rsidRPr="001233A4">
        <w:rPr>
          <w:rFonts w:ascii="Arial" w:hAnsi="Arial" w:cs="Arial"/>
        </w:rPr>
        <w:t>insufficiency</w:t>
      </w:r>
      <w:proofErr w:type="spellEnd"/>
      <w:r w:rsidR="00A810A0" w:rsidRPr="001233A4">
        <w:rPr>
          <w:rFonts w:ascii="Arial" w:hAnsi="Arial" w:cs="Arial"/>
        </w:rPr>
        <w:t xml:space="preserve">: </w:t>
      </w:r>
      <w:proofErr w:type="spellStart"/>
      <w:r w:rsidR="00A810A0" w:rsidRPr="001233A4">
        <w:rPr>
          <w:rFonts w:ascii="Arial" w:hAnsi="Arial" w:cs="Arial"/>
        </w:rPr>
        <w:t>diagnosis</w:t>
      </w:r>
      <w:proofErr w:type="spellEnd"/>
      <w:r w:rsidR="00A810A0" w:rsidRPr="001233A4">
        <w:rPr>
          <w:rFonts w:ascii="Arial" w:hAnsi="Arial" w:cs="Arial"/>
        </w:rPr>
        <w:t xml:space="preserve"> and management </w:t>
      </w:r>
      <w:proofErr w:type="spellStart"/>
      <w:r w:rsidR="00A810A0" w:rsidRPr="001233A4">
        <w:rPr>
          <w:rFonts w:ascii="Arial" w:hAnsi="Arial" w:cs="Arial"/>
        </w:rPr>
        <w:t>in</w:t>
      </w:r>
      <w:proofErr w:type="spellEnd"/>
      <w:r w:rsidR="00A810A0" w:rsidRPr="001233A4">
        <w:rPr>
          <w:rFonts w:ascii="Arial" w:hAnsi="Arial" w:cs="Arial"/>
        </w:rPr>
        <w:t xml:space="preserve"> </w:t>
      </w:r>
      <w:proofErr w:type="spellStart"/>
      <w:r w:rsidR="00A810A0" w:rsidRPr="001233A4">
        <w:rPr>
          <w:rFonts w:ascii="Arial" w:hAnsi="Arial" w:cs="Arial"/>
        </w:rPr>
        <w:t>pregnancy</w:t>
      </w:r>
      <w:proofErr w:type="spellEnd"/>
      <w:r w:rsidR="00A810A0" w:rsidRPr="001233A4">
        <w:rPr>
          <w:rFonts w:ascii="Arial" w:hAnsi="Arial" w:cs="Arial"/>
        </w:rPr>
        <w:t xml:space="preserve">” i opublikowanej w </w:t>
      </w:r>
      <w:proofErr w:type="spellStart"/>
      <w:r w:rsidR="00A810A0" w:rsidRPr="001233A4">
        <w:rPr>
          <w:rFonts w:ascii="Arial" w:hAnsi="Arial" w:cs="Arial"/>
        </w:rPr>
        <w:t>Current</w:t>
      </w:r>
      <w:proofErr w:type="spellEnd"/>
      <w:r w:rsidR="00A810A0" w:rsidRPr="001233A4">
        <w:rPr>
          <w:rFonts w:ascii="Arial" w:hAnsi="Arial" w:cs="Arial"/>
        </w:rPr>
        <w:t xml:space="preserve"> </w:t>
      </w:r>
      <w:proofErr w:type="spellStart"/>
      <w:r w:rsidR="00A810A0" w:rsidRPr="001233A4">
        <w:rPr>
          <w:rFonts w:ascii="Arial" w:hAnsi="Arial" w:cs="Arial"/>
        </w:rPr>
        <w:t>Opinion</w:t>
      </w:r>
      <w:proofErr w:type="spellEnd"/>
      <w:r w:rsidR="00A810A0" w:rsidRPr="001233A4">
        <w:rPr>
          <w:rFonts w:ascii="Arial" w:hAnsi="Arial" w:cs="Arial"/>
        </w:rPr>
        <w:t xml:space="preserve"> </w:t>
      </w:r>
      <w:proofErr w:type="spellStart"/>
      <w:r w:rsidR="00A810A0" w:rsidRPr="001233A4">
        <w:rPr>
          <w:rFonts w:ascii="Arial" w:hAnsi="Arial" w:cs="Arial"/>
        </w:rPr>
        <w:t>in</w:t>
      </w:r>
      <w:proofErr w:type="spellEnd"/>
      <w:r w:rsidR="00A810A0" w:rsidRPr="001233A4">
        <w:rPr>
          <w:rFonts w:ascii="Arial" w:hAnsi="Arial" w:cs="Arial"/>
        </w:rPr>
        <w:t xml:space="preserve"> </w:t>
      </w:r>
      <w:proofErr w:type="spellStart"/>
      <w:r w:rsidR="00A810A0" w:rsidRPr="001233A4">
        <w:rPr>
          <w:rFonts w:ascii="Arial" w:hAnsi="Arial" w:cs="Arial"/>
        </w:rPr>
        <w:t>Endocrinology</w:t>
      </w:r>
      <w:proofErr w:type="spellEnd"/>
      <w:r w:rsidR="00A810A0" w:rsidRPr="001233A4">
        <w:rPr>
          <w:rFonts w:ascii="Arial" w:hAnsi="Arial" w:cs="Arial"/>
        </w:rPr>
        <w:t xml:space="preserve">, </w:t>
      </w:r>
      <w:proofErr w:type="spellStart"/>
      <w:r w:rsidR="00A810A0" w:rsidRPr="001233A4">
        <w:rPr>
          <w:rFonts w:ascii="Arial" w:hAnsi="Arial" w:cs="Arial"/>
        </w:rPr>
        <w:t>Diabetes</w:t>
      </w:r>
      <w:proofErr w:type="spellEnd"/>
      <w:r w:rsidR="00A810A0" w:rsidRPr="001233A4">
        <w:rPr>
          <w:rFonts w:ascii="Arial" w:hAnsi="Arial" w:cs="Arial"/>
        </w:rPr>
        <w:t xml:space="preserve"> and </w:t>
      </w:r>
      <w:proofErr w:type="spellStart"/>
      <w:r w:rsidR="00A810A0" w:rsidRPr="001233A4">
        <w:rPr>
          <w:rFonts w:ascii="Arial" w:hAnsi="Arial" w:cs="Arial"/>
        </w:rPr>
        <w:t>Obesity</w:t>
      </w:r>
      <w:proofErr w:type="spellEnd"/>
      <w:r w:rsidR="00A810A0" w:rsidRPr="001233A4">
        <w:rPr>
          <w:rFonts w:ascii="Arial" w:hAnsi="Arial" w:cs="Arial"/>
        </w:rPr>
        <w:t xml:space="preserve"> jako publikacja  „</w:t>
      </w:r>
      <w:r w:rsidR="00A810A0" w:rsidRPr="001233A4">
        <w:rPr>
          <w:rFonts w:ascii="AdvP405AA6" w:hAnsi="AdvP405AA6" w:cs="AdvP405AA6"/>
        </w:rPr>
        <w:t xml:space="preserve">of </w:t>
      </w:r>
      <w:proofErr w:type="spellStart"/>
      <w:r w:rsidR="00A810A0" w:rsidRPr="001233A4">
        <w:rPr>
          <w:rFonts w:ascii="AdvP405AA6" w:hAnsi="AdvP405AA6" w:cs="AdvP405AA6"/>
        </w:rPr>
        <w:t>outstanding</w:t>
      </w:r>
      <w:proofErr w:type="spellEnd"/>
      <w:r w:rsidR="00A810A0" w:rsidRPr="001233A4">
        <w:rPr>
          <w:rFonts w:ascii="AdvP405AA6" w:hAnsi="AdvP405AA6" w:cs="AdvP405AA6"/>
        </w:rPr>
        <w:t xml:space="preserve"> </w:t>
      </w:r>
      <w:proofErr w:type="spellStart"/>
      <w:r w:rsidR="00A810A0" w:rsidRPr="001233A4">
        <w:rPr>
          <w:rFonts w:ascii="AdvP405AA6" w:hAnsi="AdvP405AA6" w:cs="AdvP405AA6"/>
        </w:rPr>
        <w:t>interest</w:t>
      </w:r>
      <w:proofErr w:type="spellEnd"/>
      <w:r w:rsidR="00A810A0" w:rsidRPr="001233A4">
        <w:rPr>
          <w:rFonts w:ascii="AdvP405AA6" w:hAnsi="AdvP405AA6" w:cs="AdvP405AA6"/>
        </w:rPr>
        <w:t>”.</w:t>
      </w:r>
    </w:p>
    <w:p w:rsidR="003013DB" w:rsidRPr="00EC4642" w:rsidRDefault="00396EDB" w:rsidP="00396EDB">
      <w:pPr>
        <w:spacing w:line="360" w:lineRule="auto"/>
        <w:jc w:val="both"/>
        <w:rPr>
          <w:rFonts w:ascii="Arial" w:hAnsi="Arial" w:cs="Arial"/>
          <w:lang w:val="en-US"/>
        </w:rPr>
      </w:pPr>
      <w:proofErr w:type="spellStart"/>
      <w:r>
        <w:rPr>
          <w:rFonts w:ascii="Arial" w:hAnsi="Arial" w:cs="Arial"/>
          <w:lang w:val="en-US"/>
        </w:rPr>
        <w:t>Tabela</w:t>
      </w:r>
      <w:proofErr w:type="spellEnd"/>
      <w:r>
        <w:rPr>
          <w:rFonts w:ascii="Arial" w:hAnsi="Arial" w:cs="Arial"/>
          <w:lang w:val="en-US"/>
        </w:rPr>
        <w:t xml:space="preserve">. </w:t>
      </w:r>
      <w:proofErr w:type="spellStart"/>
      <w:r w:rsidR="003013DB" w:rsidRPr="003013DB">
        <w:rPr>
          <w:rFonts w:ascii="Arial" w:hAnsi="Arial" w:cs="Arial"/>
          <w:lang w:val="en-US"/>
        </w:rPr>
        <w:t>Cortisol</w:t>
      </w:r>
      <w:proofErr w:type="spellEnd"/>
      <w:r w:rsidR="003013DB" w:rsidRPr="003013DB">
        <w:rPr>
          <w:rFonts w:ascii="Arial" w:hAnsi="Arial" w:cs="Arial"/>
          <w:lang w:val="en-US"/>
        </w:rPr>
        <w:t xml:space="preserve"> concentration (</w:t>
      </w:r>
      <w:proofErr w:type="spellStart"/>
      <w:r w:rsidR="003013DB" w:rsidRPr="003013DB">
        <w:rPr>
          <w:rFonts w:ascii="Arial" w:hAnsi="Arial" w:cs="Arial"/>
          <w:lang w:val="en-US"/>
        </w:rPr>
        <w:t>nmol</w:t>
      </w:r>
      <w:proofErr w:type="spellEnd"/>
      <w:r w:rsidR="003013DB" w:rsidRPr="003013DB">
        <w:rPr>
          <w:rFonts w:ascii="Arial" w:hAnsi="Arial" w:cs="Arial"/>
          <w:lang w:val="en-US"/>
        </w:rPr>
        <w:t>/l) in the morning serum, morning saliva and late-</w:t>
      </w:r>
      <w:r w:rsidR="00FA7CFE">
        <w:rPr>
          <w:rFonts w:ascii="Arial" w:hAnsi="Arial" w:cs="Arial"/>
          <w:lang w:val="en-US"/>
        </w:rPr>
        <w:t>night saliva [mean and range (</w:t>
      </w:r>
      <w:r w:rsidR="003013DB" w:rsidRPr="003013DB">
        <w:rPr>
          <w:rFonts w:ascii="Arial" w:hAnsi="Arial" w:cs="Arial"/>
          <w:lang w:val="en-US"/>
        </w:rPr>
        <w:t xml:space="preserve">2.5 and 97.5 percentile)] in studied groups: healthy women, women on oral contraceptives,  pregnant women in the first, second, third trimester and postpartum. </w:t>
      </w:r>
    </w:p>
    <w:tbl>
      <w:tblPr>
        <w:tblW w:w="10035" w:type="dxa"/>
        <w:tblBorders>
          <w:top w:val="single" w:sz="4" w:space="0" w:color="auto"/>
          <w:bottom w:val="single" w:sz="4" w:space="0" w:color="auto"/>
          <w:insideH w:val="single" w:sz="4" w:space="0" w:color="auto"/>
        </w:tblBorders>
        <w:tblLayout w:type="fixed"/>
        <w:tblCellMar>
          <w:top w:w="28" w:type="dxa"/>
          <w:bottom w:w="28" w:type="dxa"/>
        </w:tblCellMar>
        <w:tblLook w:val="04A0"/>
      </w:tblPr>
      <w:tblGrid>
        <w:gridCol w:w="2325"/>
        <w:gridCol w:w="2041"/>
        <w:gridCol w:w="2041"/>
        <w:gridCol w:w="1814"/>
        <w:gridCol w:w="1814"/>
      </w:tblGrid>
      <w:tr w:rsidR="003013DB" w:rsidRPr="00F63CD6" w:rsidTr="00726E58">
        <w:tc>
          <w:tcPr>
            <w:tcW w:w="2325" w:type="dxa"/>
            <w:tcBorders>
              <w:bottom w:val="single" w:sz="4" w:space="0" w:color="auto"/>
            </w:tcBorders>
          </w:tcPr>
          <w:p w:rsidR="003013DB" w:rsidRPr="00F63CD6" w:rsidRDefault="003013DB" w:rsidP="003013DB">
            <w:pPr>
              <w:spacing w:line="240" w:lineRule="auto"/>
              <w:rPr>
                <w:rFonts w:ascii="Arial" w:hAnsi="Arial" w:cs="Arial"/>
                <w:sz w:val="20"/>
                <w:szCs w:val="20"/>
                <w:lang w:val="en-US"/>
              </w:rPr>
            </w:pPr>
          </w:p>
        </w:tc>
        <w:tc>
          <w:tcPr>
            <w:tcW w:w="2041" w:type="dxa"/>
            <w:tcBorders>
              <w:bottom w:val="single" w:sz="4" w:space="0" w:color="auto"/>
            </w:tcBorders>
            <w:vAlign w:val="center"/>
          </w:tcPr>
          <w:p w:rsidR="003013DB" w:rsidRPr="00F63CD6" w:rsidRDefault="003013DB" w:rsidP="003013DB">
            <w:pPr>
              <w:spacing w:line="240" w:lineRule="auto"/>
              <w:jc w:val="center"/>
              <w:rPr>
                <w:rFonts w:ascii="Arial" w:hAnsi="Arial" w:cs="Arial"/>
                <w:sz w:val="20"/>
                <w:szCs w:val="20"/>
                <w:lang w:val="en-US"/>
              </w:rPr>
            </w:pPr>
            <w:r w:rsidRPr="00F63CD6">
              <w:rPr>
                <w:rFonts w:ascii="Arial" w:hAnsi="Arial" w:cs="Arial"/>
                <w:sz w:val="20"/>
                <w:szCs w:val="20"/>
                <w:lang w:val="en-US"/>
              </w:rPr>
              <w:t xml:space="preserve">No of samples analyzed </w:t>
            </w:r>
          </w:p>
        </w:tc>
        <w:tc>
          <w:tcPr>
            <w:tcW w:w="2041" w:type="dxa"/>
            <w:tcBorders>
              <w:bottom w:val="single" w:sz="4" w:space="0" w:color="auto"/>
            </w:tcBorders>
            <w:vAlign w:val="center"/>
          </w:tcPr>
          <w:p w:rsidR="003013DB" w:rsidRPr="00F63CD6" w:rsidRDefault="003013DB" w:rsidP="003013DB">
            <w:pPr>
              <w:spacing w:line="240" w:lineRule="auto"/>
              <w:jc w:val="center"/>
              <w:rPr>
                <w:rFonts w:ascii="Arial" w:hAnsi="Arial" w:cs="Arial"/>
                <w:sz w:val="20"/>
                <w:szCs w:val="20"/>
                <w:lang w:val="en-US"/>
              </w:rPr>
            </w:pPr>
          </w:p>
          <w:p w:rsidR="003013DB" w:rsidRPr="00F63CD6" w:rsidRDefault="003013DB" w:rsidP="003013DB">
            <w:pPr>
              <w:spacing w:line="240" w:lineRule="auto"/>
              <w:jc w:val="center"/>
              <w:rPr>
                <w:rFonts w:ascii="Arial" w:hAnsi="Arial" w:cs="Arial"/>
                <w:sz w:val="20"/>
                <w:szCs w:val="20"/>
                <w:lang w:val="en-US"/>
              </w:rPr>
            </w:pPr>
            <w:r w:rsidRPr="00F63CD6">
              <w:rPr>
                <w:rFonts w:ascii="Arial" w:hAnsi="Arial" w:cs="Arial"/>
                <w:sz w:val="20"/>
                <w:szCs w:val="20"/>
                <w:lang w:val="en-US"/>
              </w:rPr>
              <w:t>Morning serum</w:t>
            </w:r>
          </w:p>
          <w:p w:rsidR="003013DB" w:rsidRPr="00F63CD6" w:rsidRDefault="003013DB" w:rsidP="003013DB">
            <w:pPr>
              <w:spacing w:line="240" w:lineRule="auto"/>
              <w:jc w:val="center"/>
              <w:rPr>
                <w:rFonts w:ascii="Arial" w:hAnsi="Arial" w:cs="Arial"/>
                <w:sz w:val="20"/>
                <w:szCs w:val="20"/>
                <w:lang w:val="en-US"/>
              </w:rPr>
            </w:pPr>
          </w:p>
        </w:tc>
        <w:tc>
          <w:tcPr>
            <w:tcW w:w="1814" w:type="dxa"/>
            <w:tcBorders>
              <w:bottom w:val="single" w:sz="4" w:space="0" w:color="auto"/>
            </w:tcBorders>
            <w:vAlign w:val="center"/>
          </w:tcPr>
          <w:p w:rsidR="003013DB" w:rsidRPr="00F63CD6" w:rsidRDefault="003013DB" w:rsidP="003013DB">
            <w:pPr>
              <w:spacing w:line="240" w:lineRule="auto"/>
              <w:jc w:val="center"/>
              <w:rPr>
                <w:rFonts w:ascii="Arial" w:hAnsi="Arial" w:cs="Arial"/>
                <w:sz w:val="20"/>
                <w:szCs w:val="20"/>
                <w:lang w:val="en-US"/>
              </w:rPr>
            </w:pPr>
            <w:r w:rsidRPr="00F63CD6">
              <w:rPr>
                <w:rFonts w:ascii="Arial" w:hAnsi="Arial" w:cs="Arial"/>
                <w:sz w:val="20"/>
                <w:szCs w:val="20"/>
                <w:lang w:val="en-US"/>
              </w:rPr>
              <w:t>Morning saliva</w:t>
            </w:r>
          </w:p>
        </w:tc>
        <w:tc>
          <w:tcPr>
            <w:tcW w:w="1814" w:type="dxa"/>
            <w:tcBorders>
              <w:bottom w:val="single" w:sz="4" w:space="0" w:color="auto"/>
            </w:tcBorders>
            <w:vAlign w:val="center"/>
          </w:tcPr>
          <w:p w:rsidR="003013DB" w:rsidRPr="00F63CD6" w:rsidRDefault="003013DB" w:rsidP="003013DB">
            <w:pPr>
              <w:spacing w:line="240" w:lineRule="auto"/>
              <w:jc w:val="center"/>
              <w:rPr>
                <w:rFonts w:ascii="Arial" w:hAnsi="Arial" w:cs="Arial"/>
                <w:sz w:val="20"/>
                <w:szCs w:val="20"/>
                <w:lang w:val="en-US"/>
              </w:rPr>
            </w:pPr>
            <w:r w:rsidRPr="00F63CD6">
              <w:rPr>
                <w:rFonts w:ascii="Arial" w:hAnsi="Arial" w:cs="Arial"/>
                <w:sz w:val="20"/>
                <w:szCs w:val="20"/>
                <w:lang w:val="en-US"/>
              </w:rPr>
              <w:t>Late-night saliva</w:t>
            </w:r>
          </w:p>
        </w:tc>
      </w:tr>
      <w:tr w:rsidR="003013DB" w:rsidRPr="00F63CD6" w:rsidTr="00726E58">
        <w:tc>
          <w:tcPr>
            <w:tcW w:w="2325" w:type="dxa"/>
            <w:tcBorders>
              <w:top w:val="nil"/>
              <w:bottom w:val="nil"/>
            </w:tcBorders>
          </w:tcPr>
          <w:p w:rsidR="003013DB" w:rsidRPr="00F63CD6" w:rsidRDefault="003013DB" w:rsidP="003013DB">
            <w:pPr>
              <w:spacing w:line="240" w:lineRule="auto"/>
              <w:rPr>
                <w:rFonts w:ascii="Arial" w:hAnsi="Arial" w:cs="Arial"/>
                <w:sz w:val="20"/>
                <w:szCs w:val="20"/>
                <w:lang w:val="en-US"/>
              </w:rPr>
            </w:pPr>
            <w:r w:rsidRPr="00F63CD6">
              <w:rPr>
                <w:rFonts w:ascii="Arial" w:hAnsi="Arial" w:cs="Arial"/>
                <w:sz w:val="20"/>
                <w:szCs w:val="20"/>
                <w:lang w:val="en-US"/>
              </w:rPr>
              <w:t>Healthy women</w:t>
            </w:r>
          </w:p>
        </w:tc>
        <w:tc>
          <w:tcPr>
            <w:tcW w:w="2041" w:type="dxa"/>
            <w:tcBorders>
              <w:top w:val="nil"/>
              <w:bottom w:val="nil"/>
            </w:tcBorders>
            <w:vAlign w:val="center"/>
          </w:tcPr>
          <w:p w:rsidR="003013DB" w:rsidRPr="00F63CD6" w:rsidRDefault="003013DB" w:rsidP="003013DB">
            <w:pPr>
              <w:spacing w:line="240" w:lineRule="auto"/>
              <w:jc w:val="center"/>
              <w:rPr>
                <w:rFonts w:ascii="Arial" w:hAnsi="Arial" w:cs="Arial"/>
                <w:sz w:val="20"/>
                <w:szCs w:val="20"/>
                <w:lang w:val="en-US"/>
              </w:rPr>
            </w:pPr>
            <w:r w:rsidRPr="00F63CD6">
              <w:rPr>
                <w:rFonts w:ascii="Arial" w:hAnsi="Arial" w:cs="Arial"/>
                <w:sz w:val="20"/>
                <w:szCs w:val="20"/>
                <w:lang w:val="en-US"/>
              </w:rPr>
              <w:t>42/59/55</w:t>
            </w:r>
          </w:p>
        </w:tc>
        <w:tc>
          <w:tcPr>
            <w:tcW w:w="2041" w:type="dxa"/>
            <w:tcBorders>
              <w:top w:val="nil"/>
              <w:bottom w:val="nil"/>
            </w:tcBorders>
            <w:vAlign w:val="center"/>
          </w:tcPr>
          <w:p w:rsidR="003013DB" w:rsidRPr="00F63CD6" w:rsidRDefault="003013DB" w:rsidP="003013DB">
            <w:pPr>
              <w:spacing w:line="240" w:lineRule="auto"/>
              <w:jc w:val="center"/>
              <w:rPr>
                <w:rFonts w:ascii="Arial" w:hAnsi="Arial" w:cs="Arial"/>
                <w:sz w:val="20"/>
                <w:szCs w:val="20"/>
                <w:lang w:val="en-US"/>
              </w:rPr>
            </w:pPr>
            <w:r w:rsidRPr="00F63CD6">
              <w:rPr>
                <w:rFonts w:ascii="Arial" w:hAnsi="Arial" w:cs="Arial"/>
                <w:sz w:val="20"/>
                <w:szCs w:val="20"/>
                <w:lang w:val="en-US"/>
              </w:rPr>
              <w:t>484.9 (274.8-721.4)</w:t>
            </w:r>
            <w:r w:rsidRPr="00F63CD6">
              <w:rPr>
                <w:rFonts w:ascii="Arial" w:hAnsi="Arial" w:cs="Arial"/>
                <w:sz w:val="20"/>
                <w:szCs w:val="20"/>
                <w:vertAlign w:val="superscript"/>
                <w:lang w:val="en-US"/>
              </w:rPr>
              <w:t>a</w:t>
            </w:r>
          </w:p>
        </w:tc>
        <w:tc>
          <w:tcPr>
            <w:tcW w:w="1814" w:type="dxa"/>
            <w:tcBorders>
              <w:top w:val="nil"/>
              <w:bottom w:val="nil"/>
            </w:tcBorders>
            <w:vAlign w:val="center"/>
          </w:tcPr>
          <w:p w:rsidR="003013DB" w:rsidRPr="00F63CD6" w:rsidRDefault="003013DB" w:rsidP="003013DB">
            <w:pPr>
              <w:spacing w:line="240" w:lineRule="auto"/>
              <w:jc w:val="center"/>
              <w:rPr>
                <w:rFonts w:ascii="Arial" w:hAnsi="Arial" w:cs="Arial"/>
                <w:sz w:val="20"/>
                <w:szCs w:val="20"/>
                <w:lang w:val="en-US"/>
              </w:rPr>
            </w:pPr>
            <w:r w:rsidRPr="00F63CD6">
              <w:rPr>
                <w:rFonts w:ascii="Arial" w:hAnsi="Arial" w:cs="Arial"/>
                <w:sz w:val="20"/>
                <w:szCs w:val="20"/>
                <w:lang w:val="en-US"/>
              </w:rPr>
              <w:t>18.5 (5.27-37.8)</w:t>
            </w:r>
          </w:p>
        </w:tc>
        <w:tc>
          <w:tcPr>
            <w:tcW w:w="1814" w:type="dxa"/>
            <w:tcBorders>
              <w:top w:val="nil"/>
              <w:bottom w:val="nil"/>
            </w:tcBorders>
            <w:vAlign w:val="center"/>
          </w:tcPr>
          <w:p w:rsidR="003013DB" w:rsidRPr="00F63CD6" w:rsidRDefault="003013DB" w:rsidP="003013DB">
            <w:pPr>
              <w:spacing w:line="240" w:lineRule="auto"/>
              <w:jc w:val="center"/>
              <w:rPr>
                <w:rFonts w:ascii="Arial" w:hAnsi="Arial" w:cs="Arial"/>
                <w:sz w:val="20"/>
                <w:szCs w:val="20"/>
                <w:lang w:val="en-US"/>
              </w:rPr>
            </w:pPr>
            <w:r w:rsidRPr="00F63CD6">
              <w:rPr>
                <w:rFonts w:ascii="Arial" w:hAnsi="Arial" w:cs="Arial"/>
                <w:sz w:val="20"/>
                <w:szCs w:val="20"/>
                <w:lang w:val="en-US"/>
              </w:rPr>
              <w:t>4.6 (1.1-9.0)</w:t>
            </w:r>
          </w:p>
        </w:tc>
      </w:tr>
      <w:tr w:rsidR="003013DB" w:rsidRPr="00F63CD6" w:rsidTr="00726E58">
        <w:tc>
          <w:tcPr>
            <w:tcW w:w="2325" w:type="dxa"/>
            <w:tcBorders>
              <w:top w:val="nil"/>
              <w:bottom w:val="nil"/>
            </w:tcBorders>
          </w:tcPr>
          <w:p w:rsidR="003013DB" w:rsidRPr="00F63CD6" w:rsidRDefault="003013DB" w:rsidP="003013DB">
            <w:pPr>
              <w:spacing w:line="240" w:lineRule="auto"/>
              <w:rPr>
                <w:rFonts w:ascii="Arial" w:hAnsi="Arial" w:cs="Arial"/>
                <w:sz w:val="20"/>
                <w:szCs w:val="20"/>
                <w:lang w:val="en-US"/>
              </w:rPr>
            </w:pPr>
            <w:r w:rsidRPr="00F63CD6">
              <w:rPr>
                <w:rFonts w:ascii="Arial" w:hAnsi="Arial" w:cs="Arial"/>
                <w:sz w:val="20"/>
                <w:szCs w:val="20"/>
                <w:lang w:val="en-US"/>
              </w:rPr>
              <w:t>Women on OC</w:t>
            </w:r>
          </w:p>
        </w:tc>
        <w:tc>
          <w:tcPr>
            <w:tcW w:w="2041" w:type="dxa"/>
            <w:tcBorders>
              <w:top w:val="nil"/>
              <w:bottom w:val="nil"/>
            </w:tcBorders>
            <w:vAlign w:val="center"/>
          </w:tcPr>
          <w:p w:rsidR="003013DB" w:rsidRPr="00F63CD6" w:rsidRDefault="003013DB" w:rsidP="003013DB">
            <w:pPr>
              <w:spacing w:line="240" w:lineRule="auto"/>
              <w:jc w:val="center"/>
              <w:rPr>
                <w:rFonts w:ascii="Arial" w:hAnsi="Arial" w:cs="Arial"/>
                <w:sz w:val="20"/>
                <w:szCs w:val="20"/>
                <w:lang w:val="en-US"/>
              </w:rPr>
            </w:pPr>
            <w:r w:rsidRPr="00F63CD6">
              <w:rPr>
                <w:rFonts w:ascii="Arial" w:hAnsi="Arial" w:cs="Arial"/>
                <w:sz w:val="20"/>
                <w:szCs w:val="20"/>
                <w:lang w:val="en-US"/>
              </w:rPr>
              <w:t>12/11/13</w:t>
            </w:r>
          </w:p>
        </w:tc>
        <w:tc>
          <w:tcPr>
            <w:tcW w:w="2041" w:type="dxa"/>
            <w:tcBorders>
              <w:top w:val="nil"/>
              <w:bottom w:val="nil"/>
            </w:tcBorders>
            <w:vAlign w:val="center"/>
          </w:tcPr>
          <w:p w:rsidR="003013DB" w:rsidRPr="00F63CD6" w:rsidRDefault="003013DB" w:rsidP="003013DB">
            <w:pPr>
              <w:spacing w:line="240" w:lineRule="auto"/>
              <w:jc w:val="center"/>
              <w:rPr>
                <w:rFonts w:ascii="Arial" w:hAnsi="Arial" w:cs="Arial"/>
                <w:sz w:val="20"/>
                <w:szCs w:val="20"/>
                <w:lang w:val="en-US"/>
              </w:rPr>
            </w:pPr>
            <w:r w:rsidRPr="00F63CD6">
              <w:rPr>
                <w:rFonts w:ascii="Arial" w:hAnsi="Arial" w:cs="Arial"/>
                <w:sz w:val="20"/>
                <w:szCs w:val="20"/>
                <w:lang w:val="en-US"/>
              </w:rPr>
              <w:t>1002.8 (766.9-1369.4)</w:t>
            </w:r>
            <w:r w:rsidRPr="00F63CD6">
              <w:rPr>
                <w:rFonts w:ascii="Arial" w:hAnsi="Arial" w:cs="Arial"/>
                <w:sz w:val="20"/>
                <w:szCs w:val="20"/>
                <w:vertAlign w:val="superscript"/>
                <w:lang w:val="en-US"/>
              </w:rPr>
              <w:t>x</w:t>
            </w:r>
          </w:p>
        </w:tc>
        <w:tc>
          <w:tcPr>
            <w:tcW w:w="1814" w:type="dxa"/>
            <w:tcBorders>
              <w:top w:val="nil"/>
              <w:bottom w:val="nil"/>
            </w:tcBorders>
            <w:vAlign w:val="center"/>
          </w:tcPr>
          <w:p w:rsidR="003013DB" w:rsidRPr="00F63CD6" w:rsidRDefault="003013DB" w:rsidP="003013DB">
            <w:pPr>
              <w:spacing w:line="240" w:lineRule="auto"/>
              <w:jc w:val="center"/>
              <w:rPr>
                <w:rFonts w:ascii="Arial" w:hAnsi="Arial" w:cs="Arial"/>
                <w:sz w:val="20"/>
                <w:szCs w:val="20"/>
                <w:lang w:val="en-US"/>
              </w:rPr>
            </w:pPr>
            <w:r w:rsidRPr="00F63CD6">
              <w:rPr>
                <w:rFonts w:ascii="Arial" w:hAnsi="Arial" w:cs="Arial"/>
                <w:sz w:val="20"/>
                <w:szCs w:val="20"/>
                <w:lang w:val="en-US"/>
              </w:rPr>
              <w:t>19.9 (9.9-26.2)</w:t>
            </w:r>
          </w:p>
        </w:tc>
        <w:tc>
          <w:tcPr>
            <w:tcW w:w="1814" w:type="dxa"/>
            <w:tcBorders>
              <w:top w:val="nil"/>
              <w:bottom w:val="nil"/>
            </w:tcBorders>
            <w:vAlign w:val="center"/>
          </w:tcPr>
          <w:p w:rsidR="003013DB" w:rsidRPr="00F63CD6" w:rsidRDefault="003013DB" w:rsidP="003013DB">
            <w:pPr>
              <w:spacing w:line="240" w:lineRule="auto"/>
              <w:jc w:val="center"/>
              <w:rPr>
                <w:rFonts w:ascii="Arial" w:hAnsi="Arial" w:cs="Arial"/>
                <w:sz w:val="20"/>
                <w:szCs w:val="20"/>
                <w:lang w:val="en-US"/>
              </w:rPr>
            </w:pPr>
            <w:r w:rsidRPr="00F63CD6">
              <w:rPr>
                <w:rFonts w:ascii="Arial" w:hAnsi="Arial" w:cs="Arial"/>
                <w:sz w:val="20"/>
                <w:szCs w:val="20"/>
                <w:lang w:val="en-US"/>
              </w:rPr>
              <w:t>4.7 (3.1-7.9)</w:t>
            </w:r>
          </w:p>
        </w:tc>
      </w:tr>
      <w:tr w:rsidR="003013DB" w:rsidRPr="00F63CD6" w:rsidTr="00726E58">
        <w:tc>
          <w:tcPr>
            <w:tcW w:w="2325" w:type="dxa"/>
            <w:tcBorders>
              <w:bottom w:val="nil"/>
            </w:tcBorders>
          </w:tcPr>
          <w:p w:rsidR="003013DB" w:rsidRPr="00F63CD6" w:rsidRDefault="003013DB" w:rsidP="003013DB">
            <w:pPr>
              <w:spacing w:line="240" w:lineRule="auto"/>
              <w:rPr>
                <w:rFonts w:ascii="Arial" w:hAnsi="Arial" w:cs="Arial"/>
                <w:sz w:val="20"/>
                <w:szCs w:val="20"/>
                <w:lang w:val="en-US"/>
              </w:rPr>
            </w:pPr>
          </w:p>
        </w:tc>
        <w:tc>
          <w:tcPr>
            <w:tcW w:w="2041" w:type="dxa"/>
            <w:tcBorders>
              <w:bottom w:val="nil"/>
            </w:tcBorders>
            <w:vAlign w:val="center"/>
          </w:tcPr>
          <w:p w:rsidR="003013DB" w:rsidRPr="00F63CD6" w:rsidRDefault="003013DB" w:rsidP="003013DB">
            <w:pPr>
              <w:spacing w:line="240" w:lineRule="auto"/>
              <w:jc w:val="center"/>
              <w:rPr>
                <w:rFonts w:ascii="Arial" w:hAnsi="Arial" w:cs="Arial"/>
                <w:sz w:val="20"/>
                <w:szCs w:val="20"/>
                <w:lang w:val="en-US"/>
              </w:rPr>
            </w:pPr>
          </w:p>
        </w:tc>
        <w:tc>
          <w:tcPr>
            <w:tcW w:w="2041" w:type="dxa"/>
            <w:tcBorders>
              <w:bottom w:val="nil"/>
            </w:tcBorders>
            <w:vAlign w:val="center"/>
          </w:tcPr>
          <w:p w:rsidR="003013DB" w:rsidRPr="00F63CD6" w:rsidRDefault="003013DB" w:rsidP="003013DB">
            <w:pPr>
              <w:spacing w:line="240" w:lineRule="auto"/>
              <w:jc w:val="center"/>
              <w:rPr>
                <w:rFonts w:ascii="Arial" w:hAnsi="Arial" w:cs="Arial"/>
                <w:sz w:val="20"/>
                <w:szCs w:val="20"/>
                <w:lang w:val="en-US"/>
              </w:rPr>
            </w:pPr>
          </w:p>
        </w:tc>
        <w:tc>
          <w:tcPr>
            <w:tcW w:w="1814" w:type="dxa"/>
            <w:tcBorders>
              <w:bottom w:val="nil"/>
            </w:tcBorders>
            <w:vAlign w:val="center"/>
          </w:tcPr>
          <w:p w:rsidR="003013DB" w:rsidRPr="00F63CD6" w:rsidRDefault="003013DB" w:rsidP="003013DB">
            <w:pPr>
              <w:spacing w:line="240" w:lineRule="auto"/>
              <w:jc w:val="center"/>
              <w:rPr>
                <w:rFonts w:ascii="Arial" w:hAnsi="Arial" w:cs="Arial"/>
                <w:sz w:val="20"/>
                <w:szCs w:val="20"/>
                <w:lang w:val="en-US"/>
              </w:rPr>
            </w:pPr>
          </w:p>
        </w:tc>
        <w:tc>
          <w:tcPr>
            <w:tcW w:w="1814" w:type="dxa"/>
            <w:tcBorders>
              <w:bottom w:val="nil"/>
            </w:tcBorders>
            <w:vAlign w:val="center"/>
          </w:tcPr>
          <w:p w:rsidR="003013DB" w:rsidRPr="00F63CD6" w:rsidRDefault="003013DB" w:rsidP="003013DB">
            <w:pPr>
              <w:spacing w:line="240" w:lineRule="auto"/>
              <w:jc w:val="center"/>
              <w:rPr>
                <w:rFonts w:ascii="Arial" w:hAnsi="Arial" w:cs="Arial"/>
                <w:sz w:val="20"/>
                <w:szCs w:val="20"/>
                <w:lang w:val="en-US"/>
              </w:rPr>
            </w:pPr>
          </w:p>
        </w:tc>
      </w:tr>
      <w:tr w:rsidR="003013DB" w:rsidRPr="00F63CD6" w:rsidTr="00726E58">
        <w:tc>
          <w:tcPr>
            <w:tcW w:w="2325" w:type="dxa"/>
            <w:tcBorders>
              <w:top w:val="nil"/>
              <w:bottom w:val="nil"/>
            </w:tcBorders>
          </w:tcPr>
          <w:p w:rsidR="003013DB" w:rsidRPr="00F63CD6" w:rsidRDefault="003013DB" w:rsidP="003013DB">
            <w:pPr>
              <w:spacing w:line="240" w:lineRule="auto"/>
              <w:rPr>
                <w:rFonts w:ascii="Arial" w:hAnsi="Arial" w:cs="Arial"/>
                <w:sz w:val="20"/>
                <w:szCs w:val="20"/>
                <w:lang w:val="en-US"/>
              </w:rPr>
            </w:pPr>
            <w:r w:rsidRPr="00F63CD6">
              <w:rPr>
                <w:rFonts w:ascii="Arial" w:hAnsi="Arial" w:cs="Arial"/>
                <w:sz w:val="20"/>
                <w:szCs w:val="20"/>
                <w:lang w:val="en-US"/>
              </w:rPr>
              <w:t>Pregnancy, 1st trimester</w:t>
            </w:r>
          </w:p>
        </w:tc>
        <w:tc>
          <w:tcPr>
            <w:tcW w:w="2041" w:type="dxa"/>
            <w:tcBorders>
              <w:top w:val="nil"/>
              <w:bottom w:val="nil"/>
            </w:tcBorders>
            <w:vAlign w:val="center"/>
          </w:tcPr>
          <w:p w:rsidR="003013DB" w:rsidRPr="00F63CD6" w:rsidRDefault="003013DB" w:rsidP="003013DB">
            <w:pPr>
              <w:spacing w:line="240" w:lineRule="auto"/>
              <w:jc w:val="center"/>
              <w:rPr>
                <w:rFonts w:ascii="Arial" w:hAnsi="Arial" w:cs="Arial"/>
                <w:sz w:val="20"/>
                <w:szCs w:val="20"/>
                <w:lang w:val="en-US"/>
              </w:rPr>
            </w:pPr>
            <w:r w:rsidRPr="00F63CD6">
              <w:rPr>
                <w:rFonts w:ascii="Arial" w:hAnsi="Arial" w:cs="Arial"/>
                <w:sz w:val="20"/>
                <w:szCs w:val="20"/>
                <w:lang w:val="en-US"/>
              </w:rPr>
              <w:t>41/71/71</w:t>
            </w:r>
          </w:p>
        </w:tc>
        <w:tc>
          <w:tcPr>
            <w:tcW w:w="2041" w:type="dxa"/>
            <w:tcBorders>
              <w:top w:val="nil"/>
              <w:bottom w:val="nil"/>
            </w:tcBorders>
            <w:vAlign w:val="center"/>
          </w:tcPr>
          <w:p w:rsidR="003013DB" w:rsidRPr="00F63CD6" w:rsidRDefault="003013DB" w:rsidP="003013DB">
            <w:pPr>
              <w:spacing w:line="240" w:lineRule="auto"/>
              <w:jc w:val="center"/>
              <w:rPr>
                <w:rFonts w:ascii="Arial" w:hAnsi="Arial" w:cs="Arial"/>
                <w:sz w:val="20"/>
                <w:szCs w:val="20"/>
                <w:lang w:val="en-US"/>
              </w:rPr>
            </w:pPr>
            <w:r w:rsidRPr="00F63CD6">
              <w:rPr>
                <w:rFonts w:ascii="Arial" w:hAnsi="Arial" w:cs="Arial"/>
                <w:sz w:val="20"/>
                <w:szCs w:val="20"/>
                <w:lang w:val="en-US"/>
              </w:rPr>
              <w:t>586.2 (281.7-954.8)</w:t>
            </w:r>
            <w:r w:rsidRPr="00F63CD6">
              <w:rPr>
                <w:rFonts w:ascii="Arial" w:hAnsi="Arial" w:cs="Arial"/>
                <w:sz w:val="20"/>
                <w:szCs w:val="20"/>
                <w:vertAlign w:val="superscript"/>
                <w:lang w:val="en-US"/>
              </w:rPr>
              <w:t>a</w:t>
            </w:r>
          </w:p>
        </w:tc>
        <w:tc>
          <w:tcPr>
            <w:tcW w:w="1814" w:type="dxa"/>
            <w:tcBorders>
              <w:top w:val="nil"/>
              <w:bottom w:val="nil"/>
            </w:tcBorders>
            <w:vAlign w:val="center"/>
          </w:tcPr>
          <w:p w:rsidR="003013DB" w:rsidRPr="00F63CD6" w:rsidRDefault="003013DB" w:rsidP="003013DB">
            <w:pPr>
              <w:spacing w:line="240" w:lineRule="auto"/>
              <w:jc w:val="center"/>
              <w:rPr>
                <w:rFonts w:ascii="Arial" w:hAnsi="Arial" w:cs="Arial"/>
                <w:sz w:val="20"/>
                <w:szCs w:val="20"/>
                <w:lang w:val="en-US"/>
              </w:rPr>
            </w:pPr>
            <w:r w:rsidRPr="00F63CD6">
              <w:rPr>
                <w:rFonts w:ascii="Arial" w:hAnsi="Arial" w:cs="Arial"/>
                <w:sz w:val="20"/>
                <w:szCs w:val="20"/>
                <w:lang w:val="en-US"/>
              </w:rPr>
              <w:t>18.4 (7.2-34.2)</w:t>
            </w:r>
          </w:p>
        </w:tc>
        <w:tc>
          <w:tcPr>
            <w:tcW w:w="1814" w:type="dxa"/>
            <w:tcBorders>
              <w:top w:val="nil"/>
              <w:bottom w:val="nil"/>
            </w:tcBorders>
            <w:vAlign w:val="center"/>
          </w:tcPr>
          <w:p w:rsidR="003013DB" w:rsidRPr="00F63CD6" w:rsidRDefault="003013DB" w:rsidP="003013DB">
            <w:pPr>
              <w:spacing w:line="240" w:lineRule="auto"/>
              <w:jc w:val="center"/>
              <w:rPr>
                <w:rFonts w:ascii="Arial" w:hAnsi="Arial" w:cs="Arial"/>
                <w:sz w:val="20"/>
                <w:szCs w:val="20"/>
                <w:lang w:val="en-US"/>
              </w:rPr>
            </w:pPr>
            <w:r w:rsidRPr="00F63CD6">
              <w:rPr>
                <w:rFonts w:ascii="Arial" w:hAnsi="Arial" w:cs="Arial"/>
                <w:sz w:val="20"/>
                <w:szCs w:val="20"/>
                <w:lang w:val="en-US"/>
              </w:rPr>
              <w:t>4.4 (1.8-9.1)</w:t>
            </w:r>
          </w:p>
        </w:tc>
      </w:tr>
      <w:tr w:rsidR="003013DB" w:rsidRPr="00F63CD6" w:rsidTr="00726E58">
        <w:tc>
          <w:tcPr>
            <w:tcW w:w="2325" w:type="dxa"/>
            <w:tcBorders>
              <w:top w:val="nil"/>
              <w:bottom w:val="nil"/>
            </w:tcBorders>
          </w:tcPr>
          <w:p w:rsidR="003013DB" w:rsidRPr="00F63CD6" w:rsidRDefault="003013DB" w:rsidP="003013DB">
            <w:pPr>
              <w:spacing w:line="240" w:lineRule="auto"/>
              <w:rPr>
                <w:rFonts w:ascii="Arial" w:hAnsi="Arial" w:cs="Arial"/>
                <w:sz w:val="20"/>
                <w:szCs w:val="20"/>
                <w:lang w:val="en-US"/>
              </w:rPr>
            </w:pPr>
            <w:r w:rsidRPr="00F63CD6">
              <w:rPr>
                <w:rFonts w:ascii="Arial" w:hAnsi="Arial" w:cs="Arial"/>
                <w:sz w:val="20"/>
                <w:szCs w:val="20"/>
                <w:lang w:val="en-US"/>
              </w:rPr>
              <w:t>Pregnancy, 2nd trimester</w:t>
            </w:r>
          </w:p>
        </w:tc>
        <w:tc>
          <w:tcPr>
            <w:tcW w:w="2041" w:type="dxa"/>
            <w:tcBorders>
              <w:top w:val="nil"/>
              <w:bottom w:val="nil"/>
            </w:tcBorders>
            <w:vAlign w:val="center"/>
          </w:tcPr>
          <w:p w:rsidR="003013DB" w:rsidRPr="00F63CD6" w:rsidRDefault="003013DB" w:rsidP="003013DB">
            <w:pPr>
              <w:spacing w:line="240" w:lineRule="auto"/>
              <w:jc w:val="center"/>
              <w:rPr>
                <w:rFonts w:ascii="Arial" w:hAnsi="Arial" w:cs="Arial"/>
                <w:sz w:val="20"/>
                <w:szCs w:val="20"/>
                <w:lang w:val="en-US"/>
              </w:rPr>
            </w:pPr>
            <w:r w:rsidRPr="00F63CD6">
              <w:rPr>
                <w:rFonts w:ascii="Arial" w:hAnsi="Arial" w:cs="Arial"/>
                <w:sz w:val="20"/>
                <w:szCs w:val="20"/>
                <w:lang w:val="en-US"/>
              </w:rPr>
              <w:t>41/76/74</w:t>
            </w:r>
          </w:p>
        </w:tc>
        <w:tc>
          <w:tcPr>
            <w:tcW w:w="2041" w:type="dxa"/>
            <w:tcBorders>
              <w:top w:val="nil"/>
              <w:bottom w:val="nil"/>
            </w:tcBorders>
            <w:vAlign w:val="center"/>
          </w:tcPr>
          <w:p w:rsidR="003013DB" w:rsidRPr="00F63CD6" w:rsidRDefault="003013DB" w:rsidP="003013DB">
            <w:pPr>
              <w:spacing w:line="240" w:lineRule="auto"/>
              <w:jc w:val="center"/>
              <w:rPr>
                <w:rFonts w:ascii="Arial" w:hAnsi="Arial" w:cs="Arial"/>
                <w:sz w:val="20"/>
                <w:szCs w:val="20"/>
                <w:lang w:val="en-US"/>
              </w:rPr>
            </w:pPr>
            <w:r w:rsidRPr="00F63CD6">
              <w:rPr>
                <w:rFonts w:ascii="Arial" w:hAnsi="Arial" w:cs="Arial"/>
                <w:sz w:val="20"/>
                <w:szCs w:val="20"/>
                <w:lang w:val="en-US"/>
              </w:rPr>
              <w:t>833.1 (456.8-1305.4)</w:t>
            </w:r>
            <w:r w:rsidRPr="00F63CD6">
              <w:rPr>
                <w:rFonts w:ascii="Arial" w:hAnsi="Arial" w:cs="Arial"/>
                <w:sz w:val="20"/>
                <w:szCs w:val="20"/>
                <w:vertAlign w:val="superscript"/>
                <w:lang w:val="en-US"/>
              </w:rPr>
              <w:t>x</w:t>
            </w:r>
          </w:p>
        </w:tc>
        <w:tc>
          <w:tcPr>
            <w:tcW w:w="1814" w:type="dxa"/>
            <w:tcBorders>
              <w:top w:val="nil"/>
              <w:bottom w:val="nil"/>
            </w:tcBorders>
            <w:vAlign w:val="center"/>
          </w:tcPr>
          <w:p w:rsidR="003013DB" w:rsidRPr="00F63CD6" w:rsidRDefault="003013DB" w:rsidP="003013DB">
            <w:pPr>
              <w:spacing w:line="240" w:lineRule="auto"/>
              <w:jc w:val="center"/>
              <w:rPr>
                <w:rFonts w:ascii="Arial" w:hAnsi="Arial" w:cs="Arial"/>
                <w:sz w:val="20"/>
                <w:szCs w:val="20"/>
                <w:lang w:val="en-US"/>
              </w:rPr>
            </w:pPr>
            <w:r w:rsidRPr="00F63CD6">
              <w:rPr>
                <w:rFonts w:ascii="Arial" w:hAnsi="Arial" w:cs="Arial"/>
                <w:sz w:val="20"/>
                <w:szCs w:val="20"/>
                <w:lang w:val="en-US"/>
              </w:rPr>
              <w:t>19.6 (6.9-36.4)</w:t>
            </w:r>
          </w:p>
        </w:tc>
        <w:tc>
          <w:tcPr>
            <w:tcW w:w="1814" w:type="dxa"/>
            <w:tcBorders>
              <w:top w:val="nil"/>
              <w:bottom w:val="nil"/>
            </w:tcBorders>
            <w:vAlign w:val="center"/>
          </w:tcPr>
          <w:p w:rsidR="003013DB" w:rsidRPr="00F63CD6" w:rsidRDefault="003013DB" w:rsidP="003013DB">
            <w:pPr>
              <w:spacing w:line="240" w:lineRule="auto"/>
              <w:jc w:val="center"/>
              <w:rPr>
                <w:rFonts w:ascii="Arial" w:hAnsi="Arial" w:cs="Arial"/>
                <w:sz w:val="20"/>
                <w:szCs w:val="20"/>
                <w:lang w:val="en-US"/>
              </w:rPr>
            </w:pPr>
            <w:r w:rsidRPr="00F63CD6">
              <w:rPr>
                <w:rFonts w:ascii="Arial" w:hAnsi="Arial" w:cs="Arial"/>
                <w:sz w:val="20"/>
                <w:szCs w:val="20"/>
                <w:lang w:val="en-US"/>
              </w:rPr>
              <w:t>4.6 (1.7-9.8)</w:t>
            </w:r>
          </w:p>
        </w:tc>
      </w:tr>
      <w:tr w:rsidR="003013DB" w:rsidRPr="00F63CD6" w:rsidTr="00726E58">
        <w:tc>
          <w:tcPr>
            <w:tcW w:w="2325" w:type="dxa"/>
            <w:tcBorders>
              <w:top w:val="nil"/>
              <w:bottom w:val="single" w:sz="4" w:space="0" w:color="auto"/>
            </w:tcBorders>
          </w:tcPr>
          <w:p w:rsidR="003013DB" w:rsidRPr="00F63CD6" w:rsidRDefault="003013DB" w:rsidP="003013DB">
            <w:pPr>
              <w:spacing w:line="240" w:lineRule="auto"/>
              <w:rPr>
                <w:rFonts w:ascii="Arial" w:hAnsi="Arial" w:cs="Arial"/>
                <w:sz w:val="20"/>
                <w:szCs w:val="20"/>
                <w:lang w:val="en-US"/>
              </w:rPr>
            </w:pPr>
            <w:r w:rsidRPr="00F63CD6">
              <w:rPr>
                <w:rFonts w:ascii="Arial" w:hAnsi="Arial" w:cs="Arial"/>
                <w:sz w:val="20"/>
                <w:szCs w:val="20"/>
                <w:lang w:val="en-US"/>
              </w:rPr>
              <w:t>Pregnancy, 3rd trimester</w:t>
            </w:r>
          </w:p>
        </w:tc>
        <w:tc>
          <w:tcPr>
            <w:tcW w:w="2041" w:type="dxa"/>
            <w:tcBorders>
              <w:top w:val="nil"/>
              <w:bottom w:val="single" w:sz="4" w:space="0" w:color="auto"/>
            </w:tcBorders>
            <w:vAlign w:val="center"/>
          </w:tcPr>
          <w:p w:rsidR="003013DB" w:rsidRPr="00F63CD6" w:rsidRDefault="003013DB" w:rsidP="003013DB">
            <w:pPr>
              <w:spacing w:line="240" w:lineRule="auto"/>
              <w:jc w:val="center"/>
              <w:rPr>
                <w:rFonts w:ascii="Arial" w:hAnsi="Arial" w:cs="Arial"/>
                <w:sz w:val="20"/>
                <w:szCs w:val="20"/>
                <w:lang w:val="en-US"/>
              </w:rPr>
            </w:pPr>
            <w:r w:rsidRPr="00F63CD6">
              <w:rPr>
                <w:rFonts w:ascii="Arial" w:hAnsi="Arial" w:cs="Arial"/>
                <w:sz w:val="20"/>
                <w:szCs w:val="20"/>
                <w:lang w:val="en-US"/>
              </w:rPr>
              <w:t>41/76/77</w:t>
            </w:r>
          </w:p>
        </w:tc>
        <w:tc>
          <w:tcPr>
            <w:tcW w:w="2041" w:type="dxa"/>
            <w:tcBorders>
              <w:top w:val="nil"/>
              <w:bottom w:val="single" w:sz="4" w:space="0" w:color="auto"/>
            </w:tcBorders>
            <w:vAlign w:val="center"/>
          </w:tcPr>
          <w:p w:rsidR="003013DB" w:rsidRPr="00F63CD6" w:rsidRDefault="003013DB" w:rsidP="003013DB">
            <w:pPr>
              <w:spacing w:line="240" w:lineRule="auto"/>
              <w:jc w:val="center"/>
              <w:rPr>
                <w:rFonts w:ascii="Arial" w:hAnsi="Arial" w:cs="Arial"/>
                <w:sz w:val="20"/>
                <w:szCs w:val="20"/>
                <w:lang w:val="en-US"/>
              </w:rPr>
            </w:pPr>
            <w:r w:rsidRPr="00F63CD6">
              <w:rPr>
                <w:rFonts w:ascii="Arial" w:hAnsi="Arial" w:cs="Arial"/>
                <w:sz w:val="20"/>
                <w:szCs w:val="20"/>
                <w:lang w:val="en-US"/>
              </w:rPr>
              <w:t>973.5 (406.6-1464.5)</w:t>
            </w:r>
            <w:r w:rsidRPr="00F63CD6">
              <w:rPr>
                <w:rFonts w:ascii="Arial" w:hAnsi="Arial" w:cs="Arial"/>
                <w:sz w:val="20"/>
                <w:szCs w:val="20"/>
                <w:vertAlign w:val="superscript"/>
                <w:lang w:val="en-US"/>
              </w:rPr>
              <w:t>x</w:t>
            </w:r>
          </w:p>
        </w:tc>
        <w:tc>
          <w:tcPr>
            <w:tcW w:w="1814" w:type="dxa"/>
            <w:tcBorders>
              <w:top w:val="nil"/>
              <w:bottom w:val="single" w:sz="4" w:space="0" w:color="auto"/>
            </w:tcBorders>
            <w:vAlign w:val="center"/>
          </w:tcPr>
          <w:p w:rsidR="003013DB" w:rsidRPr="00F63CD6" w:rsidRDefault="003013DB" w:rsidP="003013DB">
            <w:pPr>
              <w:spacing w:line="240" w:lineRule="auto"/>
              <w:jc w:val="center"/>
              <w:rPr>
                <w:rFonts w:ascii="Arial" w:hAnsi="Arial" w:cs="Arial"/>
                <w:sz w:val="20"/>
                <w:szCs w:val="20"/>
                <w:lang w:val="en-US"/>
              </w:rPr>
            </w:pPr>
            <w:r w:rsidRPr="00F63CD6">
              <w:rPr>
                <w:rFonts w:ascii="Arial" w:hAnsi="Arial" w:cs="Arial"/>
                <w:sz w:val="20"/>
                <w:szCs w:val="20"/>
                <w:lang w:val="en-US"/>
              </w:rPr>
              <w:t xml:space="preserve"> 21.9 (8.9-39.7)</w:t>
            </w:r>
          </w:p>
        </w:tc>
        <w:tc>
          <w:tcPr>
            <w:tcW w:w="1814" w:type="dxa"/>
            <w:tcBorders>
              <w:top w:val="nil"/>
              <w:bottom w:val="single" w:sz="4" w:space="0" w:color="auto"/>
            </w:tcBorders>
            <w:vAlign w:val="center"/>
          </w:tcPr>
          <w:p w:rsidR="003013DB" w:rsidRPr="00F63CD6" w:rsidRDefault="003013DB" w:rsidP="003013DB">
            <w:pPr>
              <w:spacing w:line="240" w:lineRule="auto"/>
              <w:jc w:val="center"/>
              <w:rPr>
                <w:rFonts w:ascii="Arial" w:hAnsi="Arial" w:cs="Arial"/>
                <w:sz w:val="20"/>
                <w:szCs w:val="20"/>
                <w:lang w:val="en-US"/>
              </w:rPr>
            </w:pPr>
            <w:r w:rsidRPr="00F63CD6">
              <w:rPr>
                <w:rFonts w:ascii="Arial" w:hAnsi="Arial" w:cs="Arial"/>
                <w:sz w:val="20"/>
                <w:szCs w:val="20"/>
                <w:lang w:val="en-US"/>
              </w:rPr>
              <w:t>5.6 (1.3-13.5)</w:t>
            </w:r>
          </w:p>
        </w:tc>
      </w:tr>
      <w:tr w:rsidR="003013DB" w:rsidRPr="00F63CD6" w:rsidTr="00726E58">
        <w:tc>
          <w:tcPr>
            <w:tcW w:w="2325" w:type="dxa"/>
            <w:tcBorders>
              <w:bottom w:val="nil"/>
            </w:tcBorders>
          </w:tcPr>
          <w:p w:rsidR="003013DB" w:rsidRPr="00F63CD6" w:rsidRDefault="003013DB" w:rsidP="003013DB">
            <w:pPr>
              <w:spacing w:line="240" w:lineRule="auto"/>
              <w:rPr>
                <w:rFonts w:ascii="Arial" w:hAnsi="Arial" w:cs="Arial"/>
                <w:sz w:val="20"/>
                <w:szCs w:val="20"/>
                <w:lang w:val="en-US"/>
              </w:rPr>
            </w:pPr>
          </w:p>
        </w:tc>
        <w:tc>
          <w:tcPr>
            <w:tcW w:w="2041" w:type="dxa"/>
            <w:tcBorders>
              <w:bottom w:val="nil"/>
            </w:tcBorders>
            <w:vAlign w:val="center"/>
          </w:tcPr>
          <w:p w:rsidR="003013DB" w:rsidRPr="00F63CD6" w:rsidRDefault="003013DB" w:rsidP="003013DB">
            <w:pPr>
              <w:spacing w:line="240" w:lineRule="auto"/>
              <w:jc w:val="center"/>
              <w:rPr>
                <w:rFonts w:ascii="Arial" w:hAnsi="Arial" w:cs="Arial"/>
                <w:sz w:val="20"/>
                <w:szCs w:val="20"/>
                <w:lang w:val="en-US"/>
              </w:rPr>
            </w:pPr>
          </w:p>
        </w:tc>
        <w:tc>
          <w:tcPr>
            <w:tcW w:w="2041" w:type="dxa"/>
            <w:tcBorders>
              <w:bottom w:val="nil"/>
            </w:tcBorders>
            <w:vAlign w:val="center"/>
          </w:tcPr>
          <w:p w:rsidR="003013DB" w:rsidRPr="00F63CD6" w:rsidRDefault="003013DB" w:rsidP="003013DB">
            <w:pPr>
              <w:spacing w:line="240" w:lineRule="auto"/>
              <w:jc w:val="center"/>
              <w:rPr>
                <w:rFonts w:ascii="Arial" w:hAnsi="Arial" w:cs="Arial"/>
                <w:sz w:val="20"/>
                <w:szCs w:val="20"/>
                <w:lang w:val="en-US"/>
              </w:rPr>
            </w:pPr>
          </w:p>
        </w:tc>
        <w:tc>
          <w:tcPr>
            <w:tcW w:w="1814" w:type="dxa"/>
            <w:tcBorders>
              <w:bottom w:val="nil"/>
            </w:tcBorders>
            <w:vAlign w:val="center"/>
          </w:tcPr>
          <w:p w:rsidR="003013DB" w:rsidRPr="00F63CD6" w:rsidRDefault="003013DB" w:rsidP="003013DB">
            <w:pPr>
              <w:spacing w:line="240" w:lineRule="auto"/>
              <w:jc w:val="center"/>
              <w:rPr>
                <w:rFonts w:ascii="Arial" w:hAnsi="Arial" w:cs="Arial"/>
                <w:sz w:val="20"/>
                <w:szCs w:val="20"/>
                <w:lang w:val="en-US"/>
              </w:rPr>
            </w:pPr>
          </w:p>
        </w:tc>
        <w:tc>
          <w:tcPr>
            <w:tcW w:w="1814" w:type="dxa"/>
            <w:tcBorders>
              <w:bottom w:val="nil"/>
            </w:tcBorders>
            <w:vAlign w:val="center"/>
          </w:tcPr>
          <w:p w:rsidR="003013DB" w:rsidRPr="00F63CD6" w:rsidRDefault="003013DB" w:rsidP="003013DB">
            <w:pPr>
              <w:spacing w:line="240" w:lineRule="auto"/>
              <w:jc w:val="center"/>
              <w:rPr>
                <w:rFonts w:ascii="Arial" w:hAnsi="Arial" w:cs="Arial"/>
                <w:sz w:val="20"/>
                <w:szCs w:val="20"/>
                <w:lang w:val="en-US"/>
              </w:rPr>
            </w:pPr>
          </w:p>
        </w:tc>
      </w:tr>
      <w:tr w:rsidR="003013DB" w:rsidRPr="00F63CD6" w:rsidTr="00726E58">
        <w:tc>
          <w:tcPr>
            <w:tcW w:w="2325" w:type="dxa"/>
            <w:tcBorders>
              <w:top w:val="nil"/>
              <w:bottom w:val="nil"/>
            </w:tcBorders>
          </w:tcPr>
          <w:p w:rsidR="003013DB" w:rsidRPr="00F63CD6" w:rsidRDefault="003013DB" w:rsidP="003013DB">
            <w:pPr>
              <w:spacing w:line="240" w:lineRule="auto"/>
              <w:rPr>
                <w:rFonts w:ascii="Arial" w:hAnsi="Arial" w:cs="Arial"/>
                <w:sz w:val="20"/>
                <w:szCs w:val="20"/>
                <w:lang w:val="en-US"/>
              </w:rPr>
            </w:pPr>
            <w:r w:rsidRPr="00F63CD6">
              <w:rPr>
                <w:rFonts w:ascii="Arial" w:hAnsi="Arial" w:cs="Arial"/>
                <w:sz w:val="20"/>
                <w:szCs w:val="20"/>
                <w:lang w:val="en-US"/>
              </w:rPr>
              <w:t>Postpartum, 3 months</w:t>
            </w:r>
          </w:p>
        </w:tc>
        <w:tc>
          <w:tcPr>
            <w:tcW w:w="2041" w:type="dxa"/>
            <w:tcBorders>
              <w:top w:val="nil"/>
              <w:bottom w:val="nil"/>
            </w:tcBorders>
            <w:vAlign w:val="center"/>
          </w:tcPr>
          <w:p w:rsidR="003013DB" w:rsidRPr="00F63CD6" w:rsidRDefault="003013DB" w:rsidP="003013DB">
            <w:pPr>
              <w:spacing w:line="240" w:lineRule="auto"/>
              <w:jc w:val="center"/>
              <w:rPr>
                <w:rFonts w:ascii="Arial" w:hAnsi="Arial" w:cs="Arial"/>
                <w:sz w:val="20"/>
                <w:szCs w:val="20"/>
                <w:lang w:val="en-US"/>
              </w:rPr>
            </w:pPr>
            <w:r w:rsidRPr="00F63CD6">
              <w:rPr>
                <w:rFonts w:ascii="Arial" w:hAnsi="Arial" w:cs="Arial"/>
                <w:sz w:val="20"/>
                <w:szCs w:val="20"/>
                <w:lang w:val="en-US"/>
              </w:rPr>
              <w:t>32/57/57</w:t>
            </w:r>
          </w:p>
        </w:tc>
        <w:tc>
          <w:tcPr>
            <w:tcW w:w="2041" w:type="dxa"/>
            <w:tcBorders>
              <w:top w:val="nil"/>
              <w:bottom w:val="nil"/>
            </w:tcBorders>
            <w:vAlign w:val="center"/>
          </w:tcPr>
          <w:p w:rsidR="003013DB" w:rsidRPr="00F63CD6" w:rsidRDefault="003013DB" w:rsidP="003013DB">
            <w:pPr>
              <w:spacing w:line="240" w:lineRule="auto"/>
              <w:jc w:val="center"/>
              <w:rPr>
                <w:rFonts w:ascii="Arial" w:hAnsi="Arial" w:cs="Arial"/>
                <w:sz w:val="20"/>
                <w:szCs w:val="20"/>
                <w:lang w:val="en-US"/>
              </w:rPr>
            </w:pPr>
            <w:r w:rsidRPr="00F63CD6">
              <w:rPr>
                <w:rFonts w:ascii="Arial" w:hAnsi="Arial" w:cs="Arial"/>
                <w:sz w:val="20"/>
                <w:szCs w:val="20"/>
                <w:lang w:val="en-US"/>
              </w:rPr>
              <w:t>487.4 (293.8-706.2)</w:t>
            </w:r>
            <w:r w:rsidRPr="00F63CD6">
              <w:rPr>
                <w:rFonts w:ascii="Arial" w:hAnsi="Arial" w:cs="Arial"/>
                <w:sz w:val="20"/>
                <w:szCs w:val="20"/>
                <w:vertAlign w:val="superscript"/>
                <w:lang w:val="en-US"/>
              </w:rPr>
              <w:t>a</w:t>
            </w:r>
          </w:p>
        </w:tc>
        <w:tc>
          <w:tcPr>
            <w:tcW w:w="1814" w:type="dxa"/>
            <w:tcBorders>
              <w:top w:val="nil"/>
              <w:bottom w:val="nil"/>
            </w:tcBorders>
            <w:vAlign w:val="center"/>
          </w:tcPr>
          <w:p w:rsidR="003013DB" w:rsidRPr="00F63CD6" w:rsidRDefault="003013DB" w:rsidP="003013DB">
            <w:pPr>
              <w:spacing w:line="240" w:lineRule="auto"/>
              <w:rPr>
                <w:rFonts w:ascii="Arial" w:hAnsi="Arial" w:cs="Arial"/>
                <w:sz w:val="20"/>
                <w:szCs w:val="20"/>
                <w:lang w:val="en-US"/>
              </w:rPr>
            </w:pPr>
            <w:r w:rsidRPr="00F63CD6">
              <w:rPr>
                <w:rFonts w:ascii="Arial" w:hAnsi="Arial" w:cs="Arial"/>
                <w:sz w:val="20"/>
                <w:szCs w:val="20"/>
                <w:lang w:val="en-US"/>
              </w:rPr>
              <w:t>13.8 (4.08-26.01)</w:t>
            </w:r>
          </w:p>
        </w:tc>
        <w:tc>
          <w:tcPr>
            <w:tcW w:w="1814" w:type="dxa"/>
            <w:tcBorders>
              <w:top w:val="nil"/>
              <w:bottom w:val="nil"/>
            </w:tcBorders>
            <w:vAlign w:val="center"/>
          </w:tcPr>
          <w:p w:rsidR="003013DB" w:rsidRPr="00F63CD6" w:rsidRDefault="003013DB" w:rsidP="003013DB">
            <w:pPr>
              <w:spacing w:line="240" w:lineRule="auto"/>
              <w:jc w:val="center"/>
              <w:rPr>
                <w:rFonts w:ascii="Arial" w:hAnsi="Arial" w:cs="Arial"/>
                <w:sz w:val="20"/>
                <w:szCs w:val="20"/>
                <w:lang w:val="en-US"/>
              </w:rPr>
            </w:pPr>
            <w:r w:rsidRPr="00F63CD6">
              <w:rPr>
                <w:rFonts w:ascii="Arial" w:hAnsi="Arial" w:cs="Arial"/>
                <w:sz w:val="20"/>
                <w:szCs w:val="20"/>
                <w:lang w:val="en-US"/>
              </w:rPr>
              <w:t>3.0 (1.0-5.3)</w:t>
            </w:r>
            <w:r w:rsidRPr="00F63CD6">
              <w:rPr>
                <w:rFonts w:ascii="Arial" w:hAnsi="Arial" w:cs="Arial"/>
                <w:sz w:val="20"/>
                <w:szCs w:val="20"/>
                <w:vertAlign w:val="superscript"/>
                <w:lang w:val="en-US"/>
              </w:rPr>
              <w:t>b</w:t>
            </w:r>
          </w:p>
        </w:tc>
      </w:tr>
      <w:tr w:rsidR="003013DB" w:rsidRPr="00F63CD6" w:rsidTr="00726E58">
        <w:tc>
          <w:tcPr>
            <w:tcW w:w="2325" w:type="dxa"/>
            <w:tcBorders>
              <w:top w:val="nil"/>
            </w:tcBorders>
          </w:tcPr>
          <w:p w:rsidR="003013DB" w:rsidRPr="00F63CD6" w:rsidRDefault="003013DB" w:rsidP="003013DB">
            <w:pPr>
              <w:spacing w:line="240" w:lineRule="auto"/>
              <w:rPr>
                <w:rFonts w:ascii="Arial" w:hAnsi="Arial" w:cs="Arial"/>
                <w:sz w:val="20"/>
                <w:szCs w:val="20"/>
                <w:lang w:val="en-US"/>
              </w:rPr>
            </w:pPr>
          </w:p>
        </w:tc>
        <w:tc>
          <w:tcPr>
            <w:tcW w:w="2041" w:type="dxa"/>
            <w:tcBorders>
              <w:top w:val="nil"/>
            </w:tcBorders>
            <w:vAlign w:val="center"/>
          </w:tcPr>
          <w:p w:rsidR="003013DB" w:rsidRPr="00F63CD6" w:rsidRDefault="003013DB" w:rsidP="003013DB">
            <w:pPr>
              <w:spacing w:line="240" w:lineRule="auto"/>
              <w:jc w:val="center"/>
              <w:rPr>
                <w:rFonts w:ascii="Arial" w:hAnsi="Arial" w:cs="Arial"/>
                <w:sz w:val="20"/>
                <w:szCs w:val="20"/>
                <w:lang w:val="en-US"/>
              </w:rPr>
            </w:pPr>
          </w:p>
        </w:tc>
        <w:tc>
          <w:tcPr>
            <w:tcW w:w="2041" w:type="dxa"/>
            <w:tcBorders>
              <w:top w:val="nil"/>
            </w:tcBorders>
            <w:vAlign w:val="center"/>
          </w:tcPr>
          <w:p w:rsidR="003013DB" w:rsidRPr="00F63CD6" w:rsidRDefault="003013DB" w:rsidP="003013DB">
            <w:pPr>
              <w:spacing w:line="240" w:lineRule="auto"/>
              <w:rPr>
                <w:rFonts w:ascii="Arial" w:hAnsi="Arial" w:cs="Arial"/>
                <w:sz w:val="20"/>
                <w:szCs w:val="20"/>
                <w:lang w:val="en-US"/>
              </w:rPr>
            </w:pPr>
          </w:p>
        </w:tc>
        <w:tc>
          <w:tcPr>
            <w:tcW w:w="1814" w:type="dxa"/>
            <w:tcBorders>
              <w:top w:val="nil"/>
            </w:tcBorders>
            <w:vAlign w:val="center"/>
          </w:tcPr>
          <w:p w:rsidR="003013DB" w:rsidRPr="00F63CD6" w:rsidRDefault="003013DB" w:rsidP="003013DB">
            <w:pPr>
              <w:spacing w:line="240" w:lineRule="auto"/>
              <w:jc w:val="center"/>
              <w:rPr>
                <w:rFonts w:ascii="Arial" w:hAnsi="Arial" w:cs="Arial"/>
                <w:sz w:val="20"/>
                <w:szCs w:val="20"/>
                <w:lang w:val="en-US"/>
              </w:rPr>
            </w:pPr>
          </w:p>
        </w:tc>
        <w:tc>
          <w:tcPr>
            <w:tcW w:w="1814" w:type="dxa"/>
            <w:tcBorders>
              <w:top w:val="nil"/>
            </w:tcBorders>
            <w:vAlign w:val="center"/>
          </w:tcPr>
          <w:p w:rsidR="003013DB" w:rsidRPr="00F63CD6" w:rsidRDefault="003013DB" w:rsidP="003013DB">
            <w:pPr>
              <w:spacing w:line="240" w:lineRule="auto"/>
              <w:rPr>
                <w:rFonts w:ascii="Arial" w:hAnsi="Arial" w:cs="Arial"/>
                <w:sz w:val="20"/>
                <w:szCs w:val="20"/>
                <w:lang w:val="en-US"/>
              </w:rPr>
            </w:pPr>
          </w:p>
        </w:tc>
      </w:tr>
    </w:tbl>
    <w:p w:rsidR="003013DB" w:rsidRPr="003013DB" w:rsidRDefault="003013DB" w:rsidP="003013DB">
      <w:pPr>
        <w:spacing w:line="240" w:lineRule="auto"/>
        <w:rPr>
          <w:rFonts w:ascii="Arial" w:hAnsi="Arial" w:cs="Arial"/>
          <w:lang w:val="en-US"/>
        </w:rPr>
      </w:pPr>
      <w:r w:rsidRPr="003013DB">
        <w:rPr>
          <w:rFonts w:ascii="Arial" w:hAnsi="Arial" w:cs="Arial"/>
          <w:lang w:val="en-US"/>
        </w:rPr>
        <w:t xml:space="preserve">Marked values were significantly different compared to healthy women group: </w:t>
      </w:r>
      <w:r w:rsidRPr="003013DB">
        <w:rPr>
          <w:rFonts w:ascii="Arial" w:hAnsi="Arial" w:cs="Arial"/>
          <w:vertAlign w:val="superscript"/>
          <w:lang w:val="en-US"/>
        </w:rPr>
        <w:t>x</w:t>
      </w:r>
      <w:r w:rsidRPr="003013DB">
        <w:rPr>
          <w:rFonts w:ascii="Arial" w:hAnsi="Arial" w:cs="Arial"/>
          <w:lang w:val="en-US"/>
        </w:rPr>
        <w:t xml:space="preserve"> p&lt;0.001 or to women on OC: </w:t>
      </w:r>
      <w:r w:rsidRPr="003013DB">
        <w:rPr>
          <w:rFonts w:ascii="Arial" w:hAnsi="Arial" w:cs="Arial"/>
          <w:vertAlign w:val="superscript"/>
          <w:lang w:val="en-US"/>
        </w:rPr>
        <w:t xml:space="preserve">a </w:t>
      </w:r>
      <w:r w:rsidRPr="003013DB">
        <w:rPr>
          <w:rFonts w:ascii="Arial" w:hAnsi="Arial" w:cs="Arial"/>
          <w:lang w:val="en-US"/>
        </w:rPr>
        <w:t xml:space="preserve">p&lt;0.001, </w:t>
      </w:r>
      <w:proofErr w:type="spellStart"/>
      <w:r w:rsidRPr="003013DB">
        <w:rPr>
          <w:rFonts w:ascii="Arial" w:hAnsi="Arial" w:cs="Arial"/>
          <w:vertAlign w:val="superscript"/>
          <w:lang w:val="en-US"/>
        </w:rPr>
        <w:t>b</w:t>
      </w:r>
      <w:r w:rsidRPr="003013DB">
        <w:rPr>
          <w:rFonts w:ascii="Arial" w:hAnsi="Arial" w:cs="Arial"/>
          <w:lang w:val="en-US"/>
        </w:rPr>
        <w:t>p</w:t>
      </w:r>
      <w:proofErr w:type="spellEnd"/>
      <w:r w:rsidRPr="003013DB">
        <w:rPr>
          <w:rFonts w:ascii="Arial" w:hAnsi="Arial" w:cs="Arial"/>
          <w:lang w:val="en-US"/>
        </w:rPr>
        <w:t>&lt;0.05  (ANOVA-</w:t>
      </w:r>
      <w:proofErr w:type="spellStart"/>
      <w:r w:rsidRPr="003013DB">
        <w:rPr>
          <w:rFonts w:ascii="Arial" w:hAnsi="Arial" w:cs="Arial"/>
          <w:lang w:val="en-US"/>
        </w:rPr>
        <w:t>Scheffe</w:t>
      </w:r>
      <w:proofErr w:type="spellEnd"/>
      <w:r w:rsidRPr="003013DB">
        <w:rPr>
          <w:rFonts w:ascii="Arial" w:hAnsi="Arial" w:cs="Arial"/>
          <w:lang w:val="en-US"/>
        </w:rPr>
        <w:t xml:space="preserve"> test) </w:t>
      </w:r>
    </w:p>
    <w:p w:rsidR="009E473A" w:rsidRPr="003013DB" w:rsidRDefault="009E473A" w:rsidP="00172092">
      <w:pPr>
        <w:spacing w:line="360" w:lineRule="auto"/>
        <w:jc w:val="both"/>
        <w:rPr>
          <w:rFonts w:ascii="Arial" w:hAnsi="Arial" w:cs="Arial"/>
          <w:lang w:val="en-US"/>
        </w:rPr>
      </w:pPr>
    </w:p>
    <w:p w:rsidR="00172092" w:rsidRDefault="00E1334D" w:rsidP="00E1334D">
      <w:pPr>
        <w:spacing w:line="360" w:lineRule="auto"/>
        <w:jc w:val="both"/>
        <w:rPr>
          <w:rFonts w:ascii="Arial" w:hAnsi="Arial" w:cs="Arial"/>
          <w:b/>
        </w:rPr>
      </w:pPr>
      <w:r w:rsidRPr="00E1334D">
        <w:rPr>
          <w:rFonts w:ascii="Arial" w:hAnsi="Arial" w:cs="Arial"/>
          <w:b/>
        </w:rPr>
        <w:lastRenderedPageBreak/>
        <w:t>Publikacja 2</w:t>
      </w:r>
      <w:r w:rsidR="00AB05A5">
        <w:rPr>
          <w:rFonts w:ascii="Arial" w:hAnsi="Arial" w:cs="Arial"/>
          <w:b/>
        </w:rPr>
        <w:t xml:space="preserve"> i 3.</w:t>
      </w:r>
    </w:p>
    <w:p w:rsidR="00AB05A5" w:rsidRPr="00AB05A5" w:rsidRDefault="00AB05A5" w:rsidP="00AB05A5">
      <w:pPr>
        <w:rPr>
          <w:rFonts w:ascii="Arial" w:hAnsi="Arial" w:cs="Arial"/>
          <w:lang w:val="en-US"/>
        </w:rPr>
      </w:pPr>
      <w:r w:rsidRPr="00AB05A5">
        <w:rPr>
          <w:rFonts w:ascii="Arial" w:hAnsi="Arial" w:cs="Arial"/>
          <w:b/>
          <w:bCs/>
          <w:shd w:val="clear" w:color="auto" w:fill="FFFFFF"/>
        </w:rPr>
        <w:t>Ambroziak U</w:t>
      </w:r>
      <w:r w:rsidRPr="00AB05A5">
        <w:rPr>
          <w:rFonts w:ascii="Arial" w:hAnsi="Arial" w:cs="Arial"/>
          <w:shd w:val="clear" w:color="auto" w:fill="FFFFFF"/>
        </w:rPr>
        <w:t xml:space="preserve">, </w:t>
      </w:r>
      <w:proofErr w:type="spellStart"/>
      <w:r w:rsidRPr="00AB05A5">
        <w:rPr>
          <w:rFonts w:ascii="Arial" w:hAnsi="Arial" w:cs="Arial"/>
          <w:shd w:val="clear" w:color="auto" w:fill="FFFFFF"/>
        </w:rPr>
        <w:t>Kępczyńska-Nyk</w:t>
      </w:r>
      <w:proofErr w:type="spellEnd"/>
      <w:r w:rsidRPr="00AB05A5">
        <w:rPr>
          <w:rFonts w:ascii="Arial" w:hAnsi="Arial" w:cs="Arial"/>
          <w:shd w:val="clear" w:color="auto" w:fill="FFFFFF"/>
        </w:rPr>
        <w:t xml:space="preserve"> A, Kuryłowicz A, </w:t>
      </w:r>
      <w:proofErr w:type="spellStart"/>
      <w:r w:rsidRPr="00AB05A5">
        <w:rPr>
          <w:rFonts w:ascii="Arial" w:hAnsi="Arial" w:cs="Arial"/>
          <w:shd w:val="clear" w:color="auto" w:fill="FFFFFF"/>
        </w:rPr>
        <w:t>Małunowicz</w:t>
      </w:r>
      <w:proofErr w:type="spellEnd"/>
      <w:r w:rsidRPr="00AB05A5">
        <w:rPr>
          <w:rFonts w:ascii="Arial" w:hAnsi="Arial" w:cs="Arial"/>
          <w:shd w:val="clear" w:color="auto" w:fill="FFFFFF"/>
        </w:rPr>
        <w:t xml:space="preserve"> EM</w:t>
      </w:r>
      <w:r w:rsidR="00A92997">
        <w:rPr>
          <w:rFonts w:ascii="Arial" w:hAnsi="Arial" w:cs="Arial"/>
          <w:shd w:val="clear" w:color="auto" w:fill="FFFFFF"/>
        </w:rPr>
        <w:t>†</w:t>
      </w:r>
      <w:r w:rsidRPr="00AB05A5">
        <w:rPr>
          <w:rFonts w:ascii="Arial" w:hAnsi="Arial" w:cs="Arial"/>
          <w:shd w:val="clear" w:color="auto" w:fill="FFFFFF"/>
        </w:rPr>
        <w:t xml:space="preserve">, Wójcicka A, Miśkiewicz P, </w:t>
      </w:r>
      <w:proofErr w:type="spellStart"/>
      <w:r w:rsidRPr="00AB05A5">
        <w:rPr>
          <w:rFonts w:ascii="Arial" w:hAnsi="Arial" w:cs="Arial"/>
          <w:shd w:val="clear" w:color="auto" w:fill="FFFFFF"/>
        </w:rPr>
        <w:t>Macech</w:t>
      </w:r>
      <w:proofErr w:type="spellEnd"/>
      <w:r w:rsidRPr="00AB05A5">
        <w:rPr>
          <w:rFonts w:ascii="Arial" w:hAnsi="Arial" w:cs="Arial"/>
          <w:shd w:val="clear" w:color="auto" w:fill="FFFFFF"/>
        </w:rPr>
        <w:t xml:space="preserve"> M.</w:t>
      </w:r>
      <w:r w:rsidRPr="00AB05A5">
        <w:rPr>
          <w:rFonts w:ascii="Arial" w:hAnsi="Arial" w:cs="Arial"/>
        </w:rPr>
        <w:t xml:space="preserve"> </w:t>
      </w:r>
      <w:hyperlink r:id="rId12" w:history="1">
        <w:r w:rsidRPr="00AB05A5">
          <w:rPr>
            <w:rStyle w:val="Hipercze"/>
            <w:rFonts w:ascii="Arial" w:hAnsi="Arial" w:cs="Arial"/>
            <w:color w:val="auto"/>
            <w:u w:val="none"/>
            <w:shd w:val="clear" w:color="auto" w:fill="FFFFFF"/>
            <w:lang w:val="en-US"/>
          </w:rPr>
          <w:t xml:space="preserve">The diagnosis of </w:t>
        </w:r>
        <w:proofErr w:type="spellStart"/>
        <w:r w:rsidRPr="00AB05A5">
          <w:rPr>
            <w:rStyle w:val="Hipercze"/>
            <w:rFonts w:ascii="Arial" w:hAnsi="Arial" w:cs="Arial"/>
            <w:color w:val="auto"/>
            <w:u w:val="none"/>
            <w:shd w:val="clear" w:color="auto" w:fill="FFFFFF"/>
            <w:lang w:val="en-US"/>
          </w:rPr>
          <w:t>nonclassic</w:t>
        </w:r>
        <w:proofErr w:type="spellEnd"/>
        <w:r w:rsidRPr="00AB05A5">
          <w:rPr>
            <w:rStyle w:val="Hipercze"/>
            <w:rFonts w:ascii="Arial" w:hAnsi="Arial" w:cs="Arial"/>
            <w:color w:val="auto"/>
            <w:u w:val="none"/>
            <w:shd w:val="clear" w:color="auto" w:fill="FFFFFF"/>
            <w:lang w:val="en-US"/>
          </w:rPr>
          <w:t xml:space="preserve"> congenital adrenal hyperplasia due to 21-hydroxylase deficiency, based on serum basal or post-ACTH stimulation 17-hydroxyprogesterone, can lead to false-positive diagnosis.</w:t>
        </w:r>
      </w:hyperlink>
      <w:r w:rsidRPr="00AB05A5">
        <w:rPr>
          <w:rStyle w:val="Nagwek3Znak"/>
          <w:rFonts w:eastAsiaTheme="minorHAnsi"/>
          <w:shd w:val="clear" w:color="auto" w:fill="FFFFFF"/>
          <w:lang w:val="en-US"/>
        </w:rPr>
        <w:t xml:space="preserve"> </w:t>
      </w:r>
      <w:proofErr w:type="spellStart"/>
      <w:r w:rsidRPr="00AB05A5">
        <w:rPr>
          <w:rStyle w:val="jrnl"/>
          <w:rFonts w:ascii="Arial" w:hAnsi="Arial" w:cs="Arial"/>
          <w:shd w:val="clear" w:color="auto" w:fill="FFFFFF"/>
          <w:lang w:val="en-US"/>
        </w:rPr>
        <w:t>Clin</w:t>
      </w:r>
      <w:proofErr w:type="spellEnd"/>
      <w:r w:rsidRPr="00AB05A5">
        <w:rPr>
          <w:rStyle w:val="jrnl"/>
          <w:rFonts w:ascii="Arial" w:hAnsi="Arial" w:cs="Arial"/>
          <w:shd w:val="clear" w:color="auto" w:fill="FFFFFF"/>
          <w:lang w:val="en-US"/>
        </w:rPr>
        <w:t xml:space="preserve"> </w:t>
      </w:r>
      <w:proofErr w:type="spellStart"/>
      <w:r w:rsidRPr="00AB05A5">
        <w:rPr>
          <w:rStyle w:val="jrnl"/>
          <w:rFonts w:ascii="Arial" w:hAnsi="Arial" w:cs="Arial"/>
          <w:shd w:val="clear" w:color="auto" w:fill="FFFFFF"/>
          <w:lang w:val="en-US"/>
        </w:rPr>
        <w:t>Endocrinol</w:t>
      </w:r>
      <w:proofErr w:type="spellEnd"/>
      <w:r w:rsidRPr="00AB05A5">
        <w:rPr>
          <w:rStyle w:val="jrnl"/>
          <w:rFonts w:ascii="Arial" w:hAnsi="Arial" w:cs="Arial"/>
          <w:shd w:val="clear" w:color="auto" w:fill="FFFFFF"/>
          <w:lang w:val="en-US"/>
        </w:rPr>
        <w:t xml:space="preserve"> (</w:t>
      </w:r>
      <w:proofErr w:type="spellStart"/>
      <w:r w:rsidRPr="00AB05A5">
        <w:rPr>
          <w:rStyle w:val="jrnl"/>
          <w:rFonts w:ascii="Arial" w:hAnsi="Arial" w:cs="Arial"/>
          <w:shd w:val="clear" w:color="auto" w:fill="FFFFFF"/>
          <w:lang w:val="en-US"/>
        </w:rPr>
        <w:t>Oxf</w:t>
      </w:r>
      <w:proofErr w:type="spellEnd"/>
      <w:r w:rsidRPr="00AB05A5">
        <w:rPr>
          <w:rStyle w:val="jrnl"/>
          <w:rFonts w:ascii="Arial" w:hAnsi="Arial" w:cs="Arial"/>
          <w:shd w:val="clear" w:color="auto" w:fill="FFFFFF"/>
          <w:lang w:val="en-US"/>
        </w:rPr>
        <w:t>)</w:t>
      </w:r>
      <w:r w:rsidRPr="00AB05A5">
        <w:rPr>
          <w:rFonts w:ascii="Arial" w:hAnsi="Arial" w:cs="Arial"/>
          <w:shd w:val="clear" w:color="auto" w:fill="FFFFFF"/>
          <w:lang w:val="en-US"/>
        </w:rPr>
        <w:t>. 2016;84(1):23-9.</w:t>
      </w:r>
    </w:p>
    <w:p w:rsidR="00AB05A5" w:rsidRPr="004F704F" w:rsidRDefault="00AB05A5" w:rsidP="004F704F">
      <w:pPr>
        <w:rPr>
          <w:rFonts w:ascii="Arial" w:hAnsi="Arial" w:cs="Arial"/>
          <w:b/>
          <w:bCs/>
          <w:shd w:val="clear" w:color="auto" w:fill="FFFFFF"/>
        </w:rPr>
      </w:pPr>
      <w:proofErr w:type="spellStart"/>
      <w:r w:rsidRPr="004F704F">
        <w:rPr>
          <w:rFonts w:ascii="Arial" w:hAnsi="Arial" w:cs="Arial"/>
          <w:b/>
          <w:bCs/>
          <w:shd w:val="clear" w:color="auto" w:fill="FFFFFF"/>
          <w:lang w:val="en-US"/>
        </w:rPr>
        <w:t>Ambroziak</w:t>
      </w:r>
      <w:proofErr w:type="spellEnd"/>
      <w:r w:rsidRPr="004F704F">
        <w:rPr>
          <w:rFonts w:ascii="Arial" w:hAnsi="Arial" w:cs="Arial"/>
          <w:b/>
          <w:bCs/>
          <w:shd w:val="clear" w:color="auto" w:fill="FFFFFF"/>
          <w:lang w:val="en-US"/>
        </w:rPr>
        <w:t xml:space="preserve"> U</w:t>
      </w:r>
      <w:r w:rsidRPr="004F704F">
        <w:rPr>
          <w:rFonts w:ascii="Arial" w:hAnsi="Arial" w:cs="Arial"/>
          <w:shd w:val="clear" w:color="auto" w:fill="FFFFFF"/>
          <w:lang w:val="en-US"/>
        </w:rPr>
        <w:t xml:space="preserve">, </w:t>
      </w:r>
      <w:proofErr w:type="spellStart"/>
      <w:r w:rsidRPr="004F704F">
        <w:rPr>
          <w:rFonts w:ascii="Arial" w:hAnsi="Arial" w:cs="Arial"/>
          <w:shd w:val="clear" w:color="auto" w:fill="FFFFFF"/>
          <w:lang w:val="en-US"/>
        </w:rPr>
        <w:t>Kępczyńska-Nyk</w:t>
      </w:r>
      <w:proofErr w:type="spellEnd"/>
      <w:r w:rsidRPr="004F704F">
        <w:rPr>
          <w:rFonts w:ascii="Arial" w:hAnsi="Arial" w:cs="Arial"/>
          <w:shd w:val="clear" w:color="auto" w:fill="FFFFFF"/>
          <w:lang w:val="en-US"/>
        </w:rPr>
        <w:t xml:space="preserve"> A, </w:t>
      </w:r>
      <w:proofErr w:type="spellStart"/>
      <w:r w:rsidRPr="004F704F">
        <w:rPr>
          <w:rFonts w:ascii="Arial" w:hAnsi="Arial" w:cs="Arial"/>
          <w:shd w:val="clear" w:color="auto" w:fill="FFFFFF"/>
          <w:lang w:val="en-US"/>
        </w:rPr>
        <w:t>Kuryłowicz</w:t>
      </w:r>
      <w:proofErr w:type="spellEnd"/>
      <w:r w:rsidRPr="004F704F">
        <w:rPr>
          <w:rFonts w:ascii="Arial" w:hAnsi="Arial" w:cs="Arial"/>
          <w:shd w:val="clear" w:color="auto" w:fill="FFFFFF"/>
          <w:lang w:val="en-US"/>
        </w:rPr>
        <w:t xml:space="preserve"> A, </w:t>
      </w:r>
      <w:proofErr w:type="spellStart"/>
      <w:r w:rsidRPr="004F704F">
        <w:rPr>
          <w:rFonts w:ascii="Arial" w:hAnsi="Arial" w:cs="Arial"/>
          <w:shd w:val="clear" w:color="auto" w:fill="FFFFFF"/>
          <w:lang w:val="en-US"/>
        </w:rPr>
        <w:t>Wysłouch-Cieszyńska</w:t>
      </w:r>
      <w:proofErr w:type="spellEnd"/>
      <w:r w:rsidRPr="004F704F">
        <w:rPr>
          <w:rFonts w:ascii="Arial" w:hAnsi="Arial" w:cs="Arial"/>
          <w:shd w:val="clear" w:color="auto" w:fill="FFFFFF"/>
          <w:lang w:val="en-US"/>
        </w:rPr>
        <w:t xml:space="preserve"> A, </w:t>
      </w:r>
      <w:proofErr w:type="spellStart"/>
      <w:r w:rsidRPr="004F704F">
        <w:rPr>
          <w:rFonts w:ascii="Arial" w:hAnsi="Arial" w:cs="Arial"/>
          <w:shd w:val="clear" w:color="auto" w:fill="FFFFFF"/>
          <w:lang w:val="en-US"/>
        </w:rPr>
        <w:t>Małunowicz</w:t>
      </w:r>
      <w:proofErr w:type="spellEnd"/>
      <w:r w:rsidRPr="004F704F">
        <w:rPr>
          <w:rFonts w:ascii="Arial" w:hAnsi="Arial" w:cs="Arial"/>
          <w:shd w:val="clear" w:color="auto" w:fill="FFFFFF"/>
          <w:lang w:val="en-US"/>
        </w:rPr>
        <w:t xml:space="preserve"> EM</w:t>
      </w:r>
      <w:r w:rsidR="00A92997" w:rsidRPr="004F704F">
        <w:rPr>
          <w:rFonts w:ascii="Arial" w:hAnsi="Arial" w:cs="Arial"/>
          <w:shd w:val="clear" w:color="auto" w:fill="FFFFFF"/>
          <w:lang w:val="en-US"/>
        </w:rPr>
        <w:t>†</w:t>
      </w:r>
      <w:r w:rsidRPr="004F704F">
        <w:rPr>
          <w:rFonts w:ascii="Arial" w:hAnsi="Arial" w:cs="Arial"/>
          <w:shd w:val="clear" w:color="auto" w:fill="FFFFFF"/>
          <w:lang w:val="en-US"/>
        </w:rPr>
        <w:t xml:space="preserve">, </w:t>
      </w:r>
      <w:proofErr w:type="spellStart"/>
      <w:r w:rsidRPr="004F704F">
        <w:rPr>
          <w:rFonts w:ascii="Arial" w:hAnsi="Arial" w:cs="Arial"/>
          <w:shd w:val="clear" w:color="auto" w:fill="FFFFFF"/>
          <w:lang w:val="en-US"/>
        </w:rPr>
        <w:t>Bartoszewicz</w:t>
      </w:r>
      <w:proofErr w:type="spellEnd"/>
      <w:r w:rsidRPr="004F704F">
        <w:rPr>
          <w:rFonts w:ascii="Arial" w:hAnsi="Arial" w:cs="Arial"/>
          <w:shd w:val="clear" w:color="auto" w:fill="FFFFFF"/>
          <w:lang w:val="en-US"/>
        </w:rPr>
        <w:t xml:space="preserve"> Z, </w:t>
      </w:r>
      <w:proofErr w:type="spellStart"/>
      <w:r w:rsidRPr="004F704F">
        <w:rPr>
          <w:rFonts w:ascii="Arial" w:hAnsi="Arial" w:cs="Arial"/>
          <w:shd w:val="clear" w:color="auto" w:fill="FFFFFF"/>
          <w:lang w:val="en-US"/>
        </w:rPr>
        <w:t>Kondracka</w:t>
      </w:r>
      <w:proofErr w:type="spellEnd"/>
      <w:r w:rsidRPr="004F704F">
        <w:rPr>
          <w:rFonts w:ascii="Arial" w:hAnsi="Arial" w:cs="Arial"/>
          <w:shd w:val="clear" w:color="auto" w:fill="FFFFFF"/>
          <w:lang w:val="en-US"/>
        </w:rPr>
        <w:t xml:space="preserve"> A, </w:t>
      </w:r>
      <w:proofErr w:type="spellStart"/>
      <w:r w:rsidRPr="004F704F">
        <w:rPr>
          <w:rFonts w:ascii="Arial" w:hAnsi="Arial" w:cs="Arial"/>
          <w:shd w:val="clear" w:color="auto" w:fill="FFFFFF"/>
          <w:lang w:val="en-US"/>
        </w:rPr>
        <w:t>Jaźwiec</w:t>
      </w:r>
      <w:proofErr w:type="spellEnd"/>
      <w:r w:rsidRPr="004F704F">
        <w:rPr>
          <w:rFonts w:ascii="Arial" w:hAnsi="Arial" w:cs="Arial"/>
          <w:shd w:val="clear" w:color="auto" w:fill="FFFFFF"/>
          <w:lang w:val="en-US"/>
        </w:rPr>
        <w:t xml:space="preserve"> R, </w:t>
      </w:r>
      <w:proofErr w:type="spellStart"/>
      <w:r w:rsidRPr="004F704F">
        <w:rPr>
          <w:rFonts w:ascii="Arial" w:hAnsi="Arial" w:cs="Arial"/>
          <w:shd w:val="clear" w:color="auto" w:fill="FFFFFF"/>
          <w:lang w:val="en-US"/>
        </w:rPr>
        <w:t>Pawłowska</w:t>
      </w:r>
      <w:proofErr w:type="spellEnd"/>
      <w:r w:rsidRPr="004F704F">
        <w:rPr>
          <w:rFonts w:ascii="Arial" w:hAnsi="Arial" w:cs="Arial"/>
          <w:shd w:val="clear" w:color="auto" w:fill="FFFFFF"/>
          <w:lang w:val="en-US"/>
        </w:rPr>
        <w:t xml:space="preserve"> E, </w:t>
      </w:r>
      <w:proofErr w:type="spellStart"/>
      <w:r w:rsidRPr="004F704F">
        <w:rPr>
          <w:rFonts w:ascii="Arial" w:hAnsi="Arial" w:cs="Arial"/>
          <w:shd w:val="clear" w:color="auto" w:fill="FFFFFF"/>
          <w:lang w:val="en-US"/>
        </w:rPr>
        <w:t>Szcześniak</w:t>
      </w:r>
      <w:proofErr w:type="spellEnd"/>
      <w:r w:rsidRPr="004F704F">
        <w:rPr>
          <w:rFonts w:ascii="Arial" w:hAnsi="Arial" w:cs="Arial"/>
          <w:shd w:val="clear" w:color="auto" w:fill="FFFFFF"/>
          <w:lang w:val="en-US"/>
        </w:rPr>
        <w:t xml:space="preserve"> M, </w:t>
      </w:r>
      <w:proofErr w:type="spellStart"/>
      <w:r w:rsidRPr="004F704F">
        <w:rPr>
          <w:rFonts w:ascii="Arial" w:hAnsi="Arial" w:cs="Arial"/>
          <w:shd w:val="clear" w:color="auto" w:fill="FFFFFF"/>
          <w:lang w:val="en-US"/>
        </w:rPr>
        <w:t>Dadlez</w:t>
      </w:r>
      <w:proofErr w:type="spellEnd"/>
      <w:r w:rsidRPr="004F704F">
        <w:rPr>
          <w:rFonts w:ascii="Arial" w:hAnsi="Arial" w:cs="Arial"/>
          <w:shd w:val="clear" w:color="auto" w:fill="FFFFFF"/>
          <w:lang w:val="en-US"/>
        </w:rPr>
        <w:t xml:space="preserve"> M, </w:t>
      </w:r>
      <w:proofErr w:type="spellStart"/>
      <w:r w:rsidRPr="004F704F">
        <w:rPr>
          <w:rFonts w:ascii="Arial" w:hAnsi="Arial" w:cs="Arial"/>
          <w:shd w:val="clear" w:color="auto" w:fill="FFFFFF"/>
          <w:lang w:val="en-US"/>
        </w:rPr>
        <w:t>Bednarczuk</w:t>
      </w:r>
      <w:proofErr w:type="spellEnd"/>
      <w:r w:rsidRPr="004F704F">
        <w:rPr>
          <w:rFonts w:ascii="Arial" w:hAnsi="Arial" w:cs="Arial"/>
          <w:shd w:val="clear" w:color="auto" w:fill="FFFFFF"/>
          <w:lang w:val="en-US"/>
        </w:rPr>
        <w:t xml:space="preserve"> T.</w:t>
      </w:r>
      <w:r w:rsidRPr="004F704F">
        <w:rPr>
          <w:rFonts w:ascii="Arial" w:hAnsi="Arial" w:cs="Arial"/>
          <w:lang w:val="en-US"/>
        </w:rPr>
        <w:t xml:space="preserve"> </w:t>
      </w:r>
      <w:hyperlink r:id="rId13" w:history="1">
        <w:r w:rsidRPr="00AB05A5">
          <w:rPr>
            <w:rStyle w:val="Hipercze"/>
            <w:rFonts w:ascii="Arial" w:hAnsi="Arial" w:cs="Arial"/>
            <w:color w:val="auto"/>
            <w:u w:val="none"/>
            <w:shd w:val="clear" w:color="auto" w:fill="FFFFFF"/>
            <w:lang w:val="en-US"/>
          </w:rPr>
          <w:t>LC-MS/MS improves screening towards 21-hydroxylase deficiency.</w:t>
        </w:r>
      </w:hyperlink>
      <w:r w:rsidRPr="00AB05A5">
        <w:rPr>
          <w:rStyle w:val="Nagwek3Znak"/>
          <w:rFonts w:eastAsiaTheme="minorHAnsi"/>
          <w:shd w:val="clear" w:color="auto" w:fill="FFFFFF"/>
          <w:lang w:val="en-US"/>
        </w:rPr>
        <w:t xml:space="preserve"> </w:t>
      </w:r>
      <w:proofErr w:type="spellStart"/>
      <w:r w:rsidRPr="00AB05A5">
        <w:rPr>
          <w:rStyle w:val="jrnl"/>
          <w:rFonts w:ascii="Arial" w:hAnsi="Arial" w:cs="Arial"/>
          <w:shd w:val="clear" w:color="auto" w:fill="FFFFFF"/>
          <w:lang w:val="en-US"/>
        </w:rPr>
        <w:t>Gynecol</w:t>
      </w:r>
      <w:proofErr w:type="spellEnd"/>
      <w:r w:rsidRPr="00AB05A5">
        <w:rPr>
          <w:rStyle w:val="jrnl"/>
          <w:rFonts w:ascii="Arial" w:hAnsi="Arial" w:cs="Arial"/>
          <w:shd w:val="clear" w:color="auto" w:fill="FFFFFF"/>
          <w:lang w:val="en-US"/>
        </w:rPr>
        <w:t xml:space="preserve"> </w:t>
      </w:r>
      <w:proofErr w:type="spellStart"/>
      <w:r w:rsidRPr="00AB05A5">
        <w:rPr>
          <w:rStyle w:val="jrnl"/>
          <w:rFonts w:ascii="Arial" w:hAnsi="Arial" w:cs="Arial"/>
          <w:shd w:val="clear" w:color="auto" w:fill="FFFFFF"/>
          <w:lang w:val="en-US"/>
        </w:rPr>
        <w:t>Endocrinol</w:t>
      </w:r>
      <w:proofErr w:type="spellEnd"/>
      <w:r w:rsidRPr="00AB05A5">
        <w:rPr>
          <w:rFonts w:ascii="Arial" w:hAnsi="Arial" w:cs="Arial"/>
          <w:shd w:val="clear" w:color="auto" w:fill="FFFFFF"/>
          <w:lang w:val="en-US"/>
        </w:rPr>
        <w:t xml:space="preserve">. </w:t>
      </w:r>
      <w:r w:rsidRPr="00AB05A5">
        <w:rPr>
          <w:rFonts w:ascii="Arial" w:hAnsi="Arial" w:cs="Arial"/>
          <w:shd w:val="clear" w:color="auto" w:fill="FFFFFF"/>
        </w:rPr>
        <w:t xml:space="preserve">2015;31(4):296-300. </w:t>
      </w:r>
    </w:p>
    <w:p w:rsidR="00167A68" w:rsidRPr="00E932B9" w:rsidRDefault="00AB05A5" w:rsidP="006C2C89">
      <w:pPr>
        <w:spacing w:line="360" w:lineRule="auto"/>
        <w:ind w:firstLine="708"/>
        <w:jc w:val="both"/>
        <w:rPr>
          <w:rFonts w:ascii="Arial" w:hAnsi="Arial" w:cs="Arial"/>
        </w:rPr>
      </w:pPr>
      <w:r w:rsidRPr="00AB05A5">
        <w:rPr>
          <w:rFonts w:ascii="Arial" w:hAnsi="Arial" w:cs="Arial"/>
        </w:rPr>
        <w:t>Celem kolejn</w:t>
      </w:r>
      <w:r>
        <w:rPr>
          <w:rFonts w:ascii="Arial" w:hAnsi="Arial" w:cs="Arial"/>
        </w:rPr>
        <w:t>ych dwóch prac</w:t>
      </w:r>
      <w:r w:rsidR="003636F7">
        <w:rPr>
          <w:rFonts w:ascii="Arial" w:hAnsi="Arial" w:cs="Arial"/>
        </w:rPr>
        <w:t xml:space="preserve"> była poprawa diagnostyki w kierunku nieklasycznej postaci </w:t>
      </w:r>
      <w:r w:rsidR="00DF6D74">
        <w:rPr>
          <w:rFonts w:ascii="Arial" w:hAnsi="Arial" w:cs="Arial"/>
        </w:rPr>
        <w:t>WPN</w:t>
      </w:r>
      <w:r w:rsidR="00E92E57">
        <w:rPr>
          <w:rFonts w:ascii="Arial" w:hAnsi="Arial" w:cs="Arial"/>
        </w:rPr>
        <w:t xml:space="preserve"> z niedoboru 21-hydroksylazy</w:t>
      </w:r>
      <w:r w:rsidR="003636F7">
        <w:rPr>
          <w:rFonts w:ascii="Arial" w:hAnsi="Arial" w:cs="Arial"/>
        </w:rPr>
        <w:t xml:space="preserve">. W </w:t>
      </w:r>
      <w:r w:rsidR="00AB1412">
        <w:rPr>
          <w:rFonts w:ascii="Arial" w:hAnsi="Arial" w:cs="Arial"/>
        </w:rPr>
        <w:t xml:space="preserve">ramach diagnostyki różnicowej </w:t>
      </w:r>
      <w:r w:rsidR="00CF1FD6">
        <w:rPr>
          <w:rFonts w:ascii="Arial" w:hAnsi="Arial" w:cs="Arial"/>
        </w:rPr>
        <w:t xml:space="preserve">przyczyn </w:t>
      </w:r>
      <w:proofErr w:type="spellStart"/>
      <w:r w:rsidR="00CF1FD6">
        <w:rPr>
          <w:rFonts w:ascii="Arial" w:hAnsi="Arial" w:cs="Arial"/>
        </w:rPr>
        <w:t>hiperandrogenizacji</w:t>
      </w:r>
      <w:proofErr w:type="spellEnd"/>
      <w:r w:rsidR="00CF1FD6">
        <w:rPr>
          <w:rFonts w:ascii="Arial" w:hAnsi="Arial" w:cs="Arial"/>
        </w:rPr>
        <w:t xml:space="preserve"> klinicznej lub biochemicznej </w:t>
      </w:r>
      <w:r w:rsidR="004F704F">
        <w:rPr>
          <w:rFonts w:ascii="Arial" w:hAnsi="Arial" w:cs="Arial"/>
        </w:rPr>
        <w:t xml:space="preserve">zalecana jest ocena </w:t>
      </w:r>
      <w:r w:rsidR="00CF1FD6">
        <w:rPr>
          <w:rFonts w:ascii="Arial" w:hAnsi="Arial" w:cs="Arial"/>
        </w:rPr>
        <w:t>17OHP</w:t>
      </w:r>
      <w:r w:rsidR="004F704F">
        <w:rPr>
          <w:rFonts w:ascii="Arial" w:hAnsi="Arial" w:cs="Arial"/>
        </w:rPr>
        <w:t xml:space="preserve"> w kierunku wykluczenia/rozpoznania nieklasycznej postac</w:t>
      </w:r>
      <w:r w:rsidR="00807FF3">
        <w:rPr>
          <w:rFonts w:ascii="Arial" w:hAnsi="Arial" w:cs="Arial"/>
        </w:rPr>
        <w:t>i WPN</w:t>
      </w:r>
      <w:r w:rsidR="004F704F">
        <w:rPr>
          <w:rFonts w:ascii="Arial" w:hAnsi="Arial" w:cs="Arial"/>
        </w:rPr>
        <w:t xml:space="preserve">. Zalecenia </w:t>
      </w:r>
      <w:proofErr w:type="spellStart"/>
      <w:r w:rsidR="004F704F" w:rsidRPr="004F704F">
        <w:rPr>
          <w:rFonts w:ascii="Arial" w:hAnsi="Arial" w:cs="Arial"/>
          <w:i/>
        </w:rPr>
        <w:t>Endocrine</w:t>
      </w:r>
      <w:proofErr w:type="spellEnd"/>
      <w:r w:rsidR="004F704F" w:rsidRPr="004F704F">
        <w:rPr>
          <w:rFonts w:ascii="Arial" w:hAnsi="Arial" w:cs="Arial"/>
          <w:i/>
        </w:rPr>
        <w:t xml:space="preserve"> </w:t>
      </w:r>
      <w:proofErr w:type="spellStart"/>
      <w:r w:rsidR="004F704F" w:rsidRPr="004F704F">
        <w:rPr>
          <w:rFonts w:ascii="Arial" w:hAnsi="Arial" w:cs="Arial"/>
          <w:i/>
        </w:rPr>
        <w:t>Society</w:t>
      </w:r>
      <w:proofErr w:type="spellEnd"/>
      <w:r w:rsidR="00CF1FD6">
        <w:rPr>
          <w:rFonts w:ascii="Arial" w:hAnsi="Arial" w:cs="Arial"/>
          <w:i/>
        </w:rPr>
        <w:t xml:space="preserve"> 2010 </w:t>
      </w:r>
      <w:r w:rsidR="004F704F">
        <w:rPr>
          <w:rFonts w:ascii="Arial" w:hAnsi="Arial" w:cs="Arial"/>
        </w:rPr>
        <w:t>rekomenduj</w:t>
      </w:r>
      <w:r w:rsidR="00CF1FD6">
        <w:rPr>
          <w:rFonts w:ascii="Arial" w:hAnsi="Arial" w:cs="Arial"/>
        </w:rPr>
        <w:t>ą</w:t>
      </w:r>
      <w:r w:rsidR="004F704F">
        <w:rPr>
          <w:rFonts w:ascii="Arial" w:hAnsi="Arial" w:cs="Arial"/>
        </w:rPr>
        <w:t xml:space="preserve"> wykonanie podstawowego</w:t>
      </w:r>
      <w:r w:rsidR="00322E88">
        <w:rPr>
          <w:rFonts w:ascii="Arial" w:hAnsi="Arial" w:cs="Arial"/>
        </w:rPr>
        <w:t xml:space="preserve"> badania 17OHP</w:t>
      </w:r>
      <w:r w:rsidR="004F704F">
        <w:rPr>
          <w:rFonts w:ascii="Arial" w:hAnsi="Arial" w:cs="Arial"/>
        </w:rPr>
        <w:t>, a w przypadku</w:t>
      </w:r>
      <w:r w:rsidR="005A63C7">
        <w:rPr>
          <w:rFonts w:ascii="Arial" w:hAnsi="Arial" w:cs="Arial"/>
        </w:rPr>
        <w:t xml:space="preserve"> granicznych </w:t>
      </w:r>
      <w:r w:rsidR="00956979" w:rsidRPr="00311D56">
        <w:rPr>
          <w:rFonts w:ascii="Arial" w:hAnsi="Arial" w:cs="Arial"/>
        </w:rPr>
        <w:t xml:space="preserve">stężeń </w:t>
      </w:r>
      <w:r w:rsidR="005A63C7" w:rsidRPr="00311D56">
        <w:rPr>
          <w:rFonts w:ascii="Arial" w:hAnsi="Arial" w:cs="Arial"/>
        </w:rPr>
        <w:t>1</w:t>
      </w:r>
      <w:r w:rsidR="005A63C7">
        <w:rPr>
          <w:rFonts w:ascii="Arial" w:hAnsi="Arial" w:cs="Arial"/>
        </w:rPr>
        <w:t xml:space="preserve">7OHP </w:t>
      </w:r>
      <w:r w:rsidR="00D26D61">
        <w:rPr>
          <w:rFonts w:ascii="Arial" w:hAnsi="Arial" w:cs="Arial"/>
        </w:rPr>
        <w:t xml:space="preserve">około 1.7-2 </w:t>
      </w:r>
      <w:proofErr w:type="spellStart"/>
      <w:r w:rsidR="00D26D61">
        <w:rPr>
          <w:rFonts w:ascii="Arial" w:hAnsi="Arial" w:cs="Arial"/>
        </w:rPr>
        <w:t>ng</w:t>
      </w:r>
      <w:proofErr w:type="spellEnd"/>
      <w:r w:rsidR="00D26D61">
        <w:rPr>
          <w:rFonts w:ascii="Arial" w:hAnsi="Arial" w:cs="Arial"/>
        </w:rPr>
        <w:t xml:space="preserve">/ml </w:t>
      </w:r>
      <w:r w:rsidR="00846E27">
        <w:rPr>
          <w:rFonts w:ascii="Arial" w:hAnsi="Arial" w:cs="Arial"/>
        </w:rPr>
        <w:t xml:space="preserve"> </w:t>
      </w:r>
      <w:r w:rsidR="004F704F">
        <w:rPr>
          <w:rFonts w:ascii="Arial" w:hAnsi="Arial" w:cs="Arial"/>
        </w:rPr>
        <w:t>wykonanie testu stymulacji z syntetycznym ACTH</w:t>
      </w:r>
      <w:r w:rsidR="006B4329">
        <w:rPr>
          <w:rFonts w:ascii="Arial" w:hAnsi="Arial" w:cs="Arial"/>
        </w:rPr>
        <w:t>. Stężenie 17OHP ≥</w:t>
      </w:r>
      <w:r w:rsidR="00CF1FD6">
        <w:rPr>
          <w:rFonts w:ascii="Arial" w:hAnsi="Arial" w:cs="Arial"/>
        </w:rPr>
        <w:t xml:space="preserve">10 </w:t>
      </w:r>
      <w:proofErr w:type="spellStart"/>
      <w:r w:rsidR="00CF1FD6">
        <w:rPr>
          <w:rFonts w:ascii="Arial" w:hAnsi="Arial" w:cs="Arial"/>
        </w:rPr>
        <w:t>ng</w:t>
      </w:r>
      <w:proofErr w:type="spellEnd"/>
      <w:r w:rsidR="00CF1FD6">
        <w:rPr>
          <w:rFonts w:ascii="Arial" w:hAnsi="Arial" w:cs="Arial"/>
        </w:rPr>
        <w:t>/ml</w:t>
      </w:r>
      <w:r w:rsidR="0081638D">
        <w:rPr>
          <w:rFonts w:ascii="Arial" w:hAnsi="Arial" w:cs="Arial"/>
        </w:rPr>
        <w:t xml:space="preserve"> (30</w:t>
      </w:r>
      <w:r w:rsidR="00DF6D74">
        <w:rPr>
          <w:rFonts w:ascii="Arial" w:hAnsi="Arial" w:cs="Arial"/>
        </w:rPr>
        <w:t xml:space="preserve"> </w:t>
      </w:r>
      <w:proofErr w:type="spellStart"/>
      <w:r w:rsidR="0081638D">
        <w:rPr>
          <w:rFonts w:ascii="Arial" w:hAnsi="Arial" w:cs="Arial"/>
        </w:rPr>
        <w:t>nmol</w:t>
      </w:r>
      <w:proofErr w:type="spellEnd"/>
      <w:r w:rsidR="0081638D">
        <w:rPr>
          <w:rFonts w:ascii="Arial" w:hAnsi="Arial" w:cs="Arial"/>
        </w:rPr>
        <w:t>/l)</w:t>
      </w:r>
      <w:r w:rsidR="00CF1FD6">
        <w:rPr>
          <w:rFonts w:ascii="Arial" w:hAnsi="Arial" w:cs="Arial"/>
        </w:rPr>
        <w:t xml:space="preserve"> przemawia za rozpoznaniem </w:t>
      </w:r>
      <w:r w:rsidR="00DF6D74">
        <w:rPr>
          <w:rFonts w:ascii="Arial" w:hAnsi="Arial" w:cs="Arial"/>
        </w:rPr>
        <w:t>WPN</w:t>
      </w:r>
      <w:r w:rsidR="00CF1FD6">
        <w:rPr>
          <w:rFonts w:ascii="Arial" w:hAnsi="Arial" w:cs="Arial"/>
        </w:rPr>
        <w:t xml:space="preserve">. W wątpliwych przypadkach </w:t>
      </w:r>
      <w:r w:rsidR="00CF1FD6" w:rsidRPr="00DF6D74">
        <w:rPr>
          <w:rFonts w:ascii="Arial" w:hAnsi="Arial" w:cs="Arial"/>
        </w:rPr>
        <w:t>sugerowane jest</w:t>
      </w:r>
      <w:r w:rsidR="00CF1FD6">
        <w:rPr>
          <w:rFonts w:ascii="Arial" w:hAnsi="Arial" w:cs="Arial"/>
        </w:rPr>
        <w:t xml:space="preserve"> wykonanie badania mutacji genu </w:t>
      </w:r>
      <w:r w:rsidR="00CF1FD6" w:rsidRPr="00CF1FD6">
        <w:rPr>
          <w:rFonts w:ascii="Arial" w:hAnsi="Arial" w:cs="Arial"/>
          <w:i/>
        </w:rPr>
        <w:t>CYP21A2</w:t>
      </w:r>
      <w:r w:rsidR="00CF1FD6">
        <w:rPr>
          <w:rFonts w:ascii="Arial" w:hAnsi="Arial" w:cs="Arial"/>
        </w:rPr>
        <w:t xml:space="preserve">. Pomysł obu prac </w:t>
      </w:r>
      <w:r w:rsidR="00081E86">
        <w:rPr>
          <w:rFonts w:ascii="Arial" w:hAnsi="Arial" w:cs="Arial"/>
        </w:rPr>
        <w:t>podobnie jak w przypadku pierwszej publikacji powstał</w:t>
      </w:r>
      <w:r w:rsidR="00CF1FD6">
        <w:rPr>
          <w:rFonts w:ascii="Arial" w:hAnsi="Arial" w:cs="Arial"/>
        </w:rPr>
        <w:t xml:space="preserve"> z potrzeby klinicznej i obserwacji kobiet diagnozowanych z powodu zespołu </w:t>
      </w:r>
      <w:proofErr w:type="spellStart"/>
      <w:r w:rsidR="00CF1FD6">
        <w:rPr>
          <w:rFonts w:ascii="Arial" w:hAnsi="Arial" w:cs="Arial"/>
        </w:rPr>
        <w:t>hiperandrogenizacji</w:t>
      </w:r>
      <w:proofErr w:type="spellEnd"/>
      <w:r w:rsidR="00CF1FD6">
        <w:rPr>
          <w:rFonts w:ascii="Arial" w:hAnsi="Arial" w:cs="Arial"/>
        </w:rPr>
        <w:t xml:space="preserve">, u których pomimo spełnienia kryterium stężenia 17OHP 10 </w:t>
      </w:r>
      <w:proofErr w:type="spellStart"/>
      <w:r w:rsidR="00CF1FD6">
        <w:rPr>
          <w:rFonts w:ascii="Arial" w:hAnsi="Arial" w:cs="Arial"/>
        </w:rPr>
        <w:t>ng</w:t>
      </w:r>
      <w:proofErr w:type="spellEnd"/>
      <w:r w:rsidR="00CF1FD6">
        <w:rPr>
          <w:rFonts w:ascii="Arial" w:hAnsi="Arial" w:cs="Arial"/>
        </w:rPr>
        <w:t>/ml</w:t>
      </w:r>
      <w:r w:rsidR="0081638D">
        <w:rPr>
          <w:rFonts w:ascii="Arial" w:hAnsi="Arial" w:cs="Arial"/>
        </w:rPr>
        <w:t xml:space="preserve"> (30 </w:t>
      </w:r>
      <w:proofErr w:type="spellStart"/>
      <w:r w:rsidR="0081638D">
        <w:rPr>
          <w:rFonts w:ascii="Arial" w:hAnsi="Arial" w:cs="Arial"/>
        </w:rPr>
        <w:t>nmol</w:t>
      </w:r>
      <w:proofErr w:type="spellEnd"/>
      <w:r w:rsidR="0081638D">
        <w:rPr>
          <w:rFonts w:ascii="Arial" w:hAnsi="Arial" w:cs="Arial"/>
        </w:rPr>
        <w:t xml:space="preserve">/l) </w:t>
      </w:r>
      <w:r w:rsidR="00CF1FD6">
        <w:rPr>
          <w:rFonts w:ascii="Arial" w:hAnsi="Arial" w:cs="Arial"/>
        </w:rPr>
        <w:t xml:space="preserve">w toku dalszej diagnostyki nie rozpoznano </w:t>
      </w:r>
      <w:r w:rsidR="00DF6D74">
        <w:rPr>
          <w:rFonts w:ascii="Arial" w:hAnsi="Arial" w:cs="Arial"/>
        </w:rPr>
        <w:t>WPN</w:t>
      </w:r>
      <w:r w:rsidR="00CF1FD6">
        <w:rPr>
          <w:rFonts w:ascii="Arial" w:hAnsi="Arial" w:cs="Arial"/>
        </w:rPr>
        <w:t xml:space="preserve">. </w:t>
      </w:r>
      <w:r w:rsidR="006C2C89">
        <w:rPr>
          <w:rFonts w:ascii="Arial" w:hAnsi="Arial" w:cs="Arial"/>
        </w:rPr>
        <w:t xml:space="preserve">W pierwszym badaniu (publikacja 2) </w:t>
      </w:r>
      <w:r w:rsidR="00B850F9">
        <w:rPr>
          <w:rFonts w:ascii="Arial" w:hAnsi="Arial" w:cs="Arial"/>
        </w:rPr>
        <w:t>przeanalizowano grupę</w:t>
      </w:r>
      <w:r w:rsidR="006C2C89">
        <w:rPr>
          <w:rFonts w:ascii="Arial" w:hAnsi="Arial" w:cs="Arial"/>
        </w:rPr>
        <w:t xml:space="preserve"> 40 kobiet</w:t>
      </w:r>
      <w:r w:rsidR="00B850F9">
        <w:rPr>
          <w:rFonts w:ascii="Arial" w:hAnsi="Arial" w:cs="Arial"/>
        </w:rPr>
        <w:t>,</w:t>
      </w:r>
      <w:r w:rsidR="006C2C89">
        <w:rPr>
          <w:rFonts w:ascii="Arial" w:hAnsi="Arial" w:cs="Arial"/>
        </w:rPr>
        <w:t xml:space="preserve"> u których stwierdzono </w:t>
      </w:r>
      <w:r w:rsidR="00B850F9">
        <w:rPr>
          <w:rFonts w:ascii="Arial" w:hAnsi="Arial" w:cs="Arial"/>
        </w:rPr>
        <w:t xml:space="preserve">podstawowe </w:t>
      </w:r>
      <w:r w:rsidR="006B4329">
        <w:rPr>
          <w:rFonts w:ascii="Arial" w:hAnsi="Arial" w:cs="Arial"/>
        </w:rPr>
        <w:t>stężenie 17OHP</w:t>
      </w:r>
      <w:r w:rsidR="00311D56">
        <w:rPr>
          <w:rFonts w:ascii="Arial" w:hAnsi="Arial" w:cs="Arial"/>
        </w:rPr>
        <w:t xml:space="preserve">&gt;1.7 </w:t>
      </w:r>
      <w:proofErr w:type="spellStart"/>
      <w:r w:rsidR="00311D56">
        <w:rPr>
          <w:rFonts w:ascii="Arial" w:hAnsi="Arial" w:cs="Arial"/>
        </w:rPr>
        <w:t>ng</w:t>
      </w:r>
      <w:proofErr w:type="spellEnd"/>
      <w:r w:rsidR="00311D56">
        <w:rPr>
          <w:rFonts w:ascii="Arial" w:hAnsi="Arial" w:cs="Arial"/>
        </w:rPr>
        <w:t xml:space="preserve">/ml (5.1 </w:t>
      </w:r>
      <w:proofErr w:type="spellStart"/>
      <w:r w:rsidR="00311D56">
        <w:rPr>
          <w:rFonts w:ascii="Arial" w:hAnsi="Arial" w:cs="Arial"/>
        </w:rPr>
        <w:t>nmol</w:t>
      </w:r>
      <w:proofErr w:type="spellEnd"/>
      <w:r w:rsidR="00311D56">
        <w:rPr>
          <w:rFonts w:ascii="Arial" w:hAnsi="Arial" w:cs="Arial"/>
        </w:rPr>
        <w:t>/l</w:t>
      </w:r>
      <w:r w:rsidR="006C2C89">
        <w:rPr>
          <w:rFonts w:ascii="Arial" w:hAnsi="Arial" w:cs="Arial"/>
        </w:rPr>
        <w:t>)</w:t>
      </w:r>
      <w:r w:rsidR="00F8080C">
        <w:rPr>
          <w:rFonts w:ascii="Arial" w:hAnsi="Arial" w:cs="Arial"/>
        </w:rPr>
        <w:t xml:space="preserve"> i które z tego powodu zostały skierowane do dalszej diagnostyki w kierunku WPN</w:t>
      </w:r>
      <w:r w:rsidR="00B850F9">
        <w:rPr>
          <w:rFonts w:ascii="Arial" w:hAnsi="Arial" w:cs="Arial"/>
        </w:rPr>
        <w:t xml:space="preserve">. </w:t>
      </w:r>
      <w:r w:rsidR="00902C28">
        <w:rPr>
          <w:rFonts w:ascii="Arial" w:hAnsi="Arial" w:cs="Arial"/>
        </w:rPr>
        <w:t xml:space="preserve">Test z syntetycznym ACTH wykonywano jeśli stężenie podstawowe nie przekraczało 10 </w:t>
      </w:r>
      <w:proofErr w:type="spellStart"/>
      <w:r w:rsidR="00902C28">
        <w:rPr>
          <w:rFonts w:ascii="Arial" w:hAnsi="Arial" w:cs="Arial"/>
        </w:rPr>
        <w:t>ng</w:t>
      </w:r>
      <w:proofErr w:type="spellEnd"/>
      <w:r w:rsidR="00902C28">
        <w:rPr>
          <w:rFonts w:ascii="Arial" w:hAnsi="Arial" w:cs="Arial"/>
        </w:rPr>
        <w:t>/ml</w:t>
      </w:r>
      <w:r w:rsidR="0081638D">
        <w:rPr>
          <w:rFonts w:ascii="Arial" w:hAnsi="Arial" w:cs="Arial"/>
        </w:rPr>
        <w:t xml:space="preserve"> (30</w:t>
      </w:r>
      <w:r w:rsidR="00B977E6">
        <w:rPr>
          <w:rFonts w:ascii="Arial" w:hAnsi="Arial" w:cs="Arial"/>
        </w:rPr>
        <w:t xml:space="preserve"> </w:t>
      </w:r>
      <w:proofErr w:type="spellStart"/>
      <w:r w:rsidR="0081638D">
        <w:rPr>
          <w:rFonts w:ascii="Arial" w:hAnsi="Arial" w:cs="Arial"/>
        </w:rPr>
        <w:t>nmol</w:t>
      </w:r>
      <w:proofErr w:type="spellEnd"/>
      <w:r w:rsidR="0081638D">
        <w:rPr>
          <w:rFonts w:ascii="Arial" w:hAnsi="Arial" w:cs="Arial"/>
        </w:rPr>
        <w:t>/l)</w:t>
      </w:r>
      <w:r w:rsidR="00902C28">
        <w:rPr>
          <w:rFonts w:ascii="Arial" w:hAnsi="Arial" w:cs="Arial"/>
        </w:rPr>
        <w:t xml:space="preserve">. U pacjentek z podstawowym lub </w:t>
      </w:r>
      <w:proofErr w:type="spellStart"/>
      <w:r w:rsidR="006B4329">
        <w:rPr>
          <w:rFonts w:ascii="Arial" w:hAnsi="Arial" w:cs="Arial"/>
        </w:rPr>
        <w:t>postymulacyjnym</w:t>
      </w:r>
      <w:proofErr w:type="spellEnd"/>
      <w:r w:rsidR="006B4329">
        <w:rPr>
          <w:rFonts w:ascii="Arial" w:hAnsi="Arial" w:cs="Arial"/>
        </w:rPr>
        <w:t xml:space="preserve"> stężeniem 17OHP≥</w:t>
      </w:r>
      <w:r w:rsidR="00902C28">
        <w:rPr>
          <w:rFonts w:ascii="Arial" w:hAnsi="Arial" w:cs="Arial"/>
        </w:rPr>
        <w:t xml:space="preserve">10 </w:t>
      </w:r>
      <w:proofErr w:type="spellStart"/>
      <w:r w:rsidR="00902C28">
        <w:rPr>
          <w:rFonts w:ascii="Arial" w:hAnsi="Arial" w:cs="Arial"/>
        </w:rPr>
        <w:t>ng</w:t>
      </w:r>
      <w:proofErr w:type="spellEnd"/>
      <w:r w:rsidR="00902C28">
        <w:rPr>
          <w:rFonts w:ascii="Arial" w:hAnsi="Arial" w:cs="Arial"/>
        </w:rPr>
        <w:t>/ml</w:t>
      </w:r>
      <w:r w:rsidR="0081638D">
        <w:rPr>
          <w:rFonts w:ascii="Arial" w:hAnsi="Arial" w:cs="Arial"/>
        </w:rPr>
        <w:t xml:space="preserve"> (30</w:t>
      </w:r>
      <w:r w:rsidR="00B977E6">
        <w:rPr>
          <w:rFonts w:ascii="Arial" w:hAnsi="Arial" w:cs="Arial"/>
        </w:rPr>
        <w:t xml:space="preserve"> </w:t>
      </w:r>
      <w:proofErr w:type="spellStart"/>
      <w:r w:rsidR="0081638D">
        <w:rPr>
          <w:rFonts w:ascii="Arial" w:hAnsi="Arial" w:cs="Arial"/>
        </w:rPr>
        <w:t>nmol</w:t>
      </w:r>
      <w:proofErr w:type="spellEnd"/>
      <w:r w:rsidR="0081638D">
        <w:rPr>
          <w:rFonts w:ascii="Arial" w:hAnsi="Arial" w:cs="Arial"/>
        </w:rPr>
        <w:t>/l)</w:t>
      </w:r>
      <w:r w:rsidR="00902C28">
        <w:rPr>
          <w:rFonts w:ascii="Arial" w:hAnsi="Arial" w:cs="Arial"/>
        </w:rPr>
        <w:t xml:space="preserve"> </w:t>
      </w:r>
      <w:r w:rsidR="00B850F9">
        <w:rPr>
          <w:rFonts w:ascii="Arial" w:hAnsi="Arial" w:cs="Arial"/>
        </w:rPr>
        <w:t xml:space="preserve">wykonywano analizę profilową steroidów w dobowej zbiórce </w:t>
      </w:r>
      <w:r w:rsidR="0081638D">
        <w:rPr>
          <w:rFonts w:ascii="Arial" w:hAnsi="Arial" w:cs="Arial"/>
        </w:rPr>
        <w:t xml:space="preserve">moczu </w:t>
      </w:r>
      <w:r w:rsidR="00B850F9">
        <w:rPr>
          <w:rFonts w:ascii="Arial" w:hAnsi="Arial" w:cs="Arial"/>
        </w:rPr>
        <w:t>metodą chromatografii cieczowej sprzężonej ze spektometrią mas (GC/MS)</w:t>
      </w:r>
      <w:r w:rsidR="000C185C">
        <w:rPr>
          <w:rFonts w:ascii="Arial" w:hAnsi="Arial" w:cs="Arial"/>
        </w:rPr>
        <w:t xml:space="preserve">, gdzie oceniano metabolity 17OHP </w:t>
      </w:r>
      <w:r w:rsidR="00902C28">
        <w:rPr>
          <w:rFonts w:ascii="Arial" w:hAnsi="Arial" w:cs="Arial"/>
        </w:rPr>
        <w:t xml:space="preserve">oraz </w:t>
      </w:r>
      <w:r w:rsidR="0081638D">
        <w:rPr>
          <w:rFonts w:ascii="Arial" w:hAnsi="Arial" w:cs="Arial"/>
        </w:rPr>
        <w:t xml:space="preserve">przeprowadzano analizę mutacji genu </w:t>
      </w:r>
      <w:r w:rsidR="0081638D" w:rsidRPr="0081638D">
        <w:rPr>
          <w:rFonts w:ascii="Arial" w:hAnsi="Arial" w:cs="Arial"/>
          <w:i/>
        </w:rPr>
        <w:t>CYP21A2.</w:t>
      </w:r>
      <w:r w:rsidR="0081638D">
        <w:rPr>
          <w:rFonts w:ascii="Arial" w:hAnsi="Arial" w:cs="Arial"/>
        </w:rPr>
        <w:t xml:space="preserve"> </w:t>
      </w:r>
      <w:r w:rsidR="00DF6D74" w:rsidRPr="001F43F1">
        <w:rPr>
          <w:rFonts w:ascii="Arial" w:hAnsi="Arial" w:cs="Arial"/>
        </w:rPr>
        <w:t xml:space="preserve">Wśród 21 pacjentek, u których na podstawie podstawowego lub </w:t>
      </w:r>
      <w:proofErr w:type="spellStart"/>
      <w:r w:rsidR="00DF6D74" w:rsidRPr="001F43F1">
        <w:rPr>
          <w:rFonts w:ascii="Arial" w:hAnsi="Arial" w:cs="Arial"/>
        </w:rPr>
        <w:t>postymulacyj</w:t>
      </w:r>
      <w:r w:rsidR="001F43F1" w:rsidRPr="001F43F1">
        <w:rPr>
          <w:rFonts w:ascii="Arial" w:hAnsi="Arial" w:cs="Arial"/>
        </w:rPr>
        <w:t>nego</w:t>
      </w:r>
      <w:proofErr w:type="spellEnd"/>
      <w:r w:rsidR="001F43F1" w:rsidRPr="001F43F1">
        <w:rPr>
          <w:rFonts w:ascii="Arial" w:hAnsi="Arial" w:cs="Arial"/>
        </w:rPr>
        <w:t xml:space="preserve"> stężenia 17OHP ≥10 </w:t>
      </w:r>
      <w:proofErr w:type="spellStart"/>
      <w:r w:rsidR="001F43F1" w:rsidRPr="001F43F1">
        <w:rPr>
          <w:rFonts w:ascii="Arial" w:hAnsi="Arial" w:cs="Arial"/>
        </w:rPr>
        <w:t>ng</w:t>
      </w:r>
      <w:proofErr w:type="spellEnd"/>
      <w:r w:rsidR="001F43F1" w:rsidRPr="001F43F1">
        <w:rPr>
          <w:rFonts w:ascii="Arial" w:hAnsi="Arial" w:cs="Arial"/>
        </w:rPr>
        <w:t xml:space="preserve">/ml </w:t>
      </w:r>
      <w:r w:rsidR="00B977E6" w:rsidRPr="001F43F1">
        <w:rPr>
          <w:rFonts w:ascii="Arial" w:hAnsi="Arial" w:cs="Arial"/>
        </w:rPr>
        <w:t xml:space="preserve">postawione byłoby rozpoznanie </w:t>
      </w:r>
      <w:r w:rsidR="00DF6D74" w:rsidRPr="001F43F1">
        <w:rPr>
          <w:rFonts w:ascii="Arial" w:hAnsi="Arial" w:cs="Arial"/>
        </w:rPr>
        <w:t>WPN bez dalszej diagnostyki</w:t>
      </w:r>
      <w:r w:rsidR="001F43F1">
        <w:rPr>
          <w:rFonts w:ascii="Arial" w:hAnsi="Arial" w:cs="Arial"/>
        </w:rPr>
        <w:t>,</w:t>
      </w:r>
      <w:r w:rsidR="00DF6D74" w:rsidRPr="001F43F1">
        <w:rPr>
          <w:rFonts w:ascii="Arial" w:hAnsi="Arial" w:cs="Arial"/>
        </w:rPr>
        <w:t xml:space="preserve"> tylko u 5 badanie analizy profilowej steroidów równolegle z badaniem genetycznym potwierdziło to rozpoznanie.</w:t>
      </w:r>
      <w:r w:rsidR="00DF6D74">
        <w:rPr>
          <w:rFonts w:ascii="Arial" w:hAnsi="Arial" w:cs="Arial"/>
        </w:rPr>
        <w:t xml:space="preserve"> </w:t>
      </w:r>
      <w:r w:rsidR="005A63C7">
        <w:rPr>
          <w:rFonts w:ascii="Arial" w:hAnsi="Arial" w:cs="Arial"/>
        </w:rPr>
        <w:t xml:space="preserve">Wnioskiem z tej pracy była konieczność rozszerzenia diagnostyki </w:t>
      </w:r>
      <w:r w:rsidR="00167A68">
        <w:rPr>
          <w:rFonts w:ascii="Arial" w:hAnsi="Arial" w:cs="Arial"/>
        </w:rPr>
        <w:t>o dodatkowe badania poza oceną stężenia 17OHP w surowicy wykonywanego testem immunoenzymatycznym.</w:t>
      </w:r>
      <w:r w:rsidR="00E932B9">
        <w:rPr>
          <w:rFonts w:ascii="Arial" w:hAnsi="Arial" w:cs="Arial"/>
        </w:rPr>
        <w:t xml:space="preserve"> </w:t>
      </w:r>
      <w:r w:rsidR="00E932B9" w:rsidRPr="00223222">
        <w:rPr>
          <w:rFonts w:ascii="Arial" w:hAnsi="Arial" w:cs="Arial"/>
        </w:rPr>
        <w:t xml:space="preserve">Praca ta </w:t>
      </w:r>
      <w:r w:rsidR="00E8088F" w:rsidRPr="00223222">
        <w:rPr>
          <w:rFonts w:ascii="Arial" w:hAnsi="Arial" w:cs="Arial"/>
        </w:rPr>
        <w:t>została</w:t>
      </w:r>
      <w:r w:rsidR="00E932B9" w:rsidRPr="00223222">
        <w:rPr>
          <w:rFonts w:ascii="Arial" w:hAnsi="Arial" w:cs="Arial"/>
        </w:rPr>
        <w:t xml:space="preserve"> zacytowana w ostatnich zaleceniach </w:t>
      </w:r>
      <w:proofErr w:type="spellStart"/>
      <w:r w:rsidR="00E932B9" w:rsidRPr="00223222">
        <w:rPr>
          <w:rFonts w:ascii="Arial" w:hAnsi="Arial" w:cs="Arial"/>
          <w:i/>
        </w:rPr>
        <w:t>Endocrine</w:t>
      </w:r>
      <w:proofErr w:type="spellEnd"/>
      <w:r w:rsidR="00E932B9" w:rsidRPr="00223222">
        <w:rPr>
          <w:rFonts w:ascii="Arial" w:hAnsi="Arial" w:cs="Arial"/>
          <w:i/>
        </w:rPr>
        <w:t xml:space="preserve"> </w:t>
      </w:r>
      <w:proofErr w:type="spellStart"/>
      <w:r w:rsidR="00E932B9" w:rsidRPr="00223222">
        <w:rPr>
          <w:rFonts w:ascii="Arial" w:hAnsi="Arial" w:cs="Arial"/>
          <w:i/>
        </w:rPr>
        <w:t>Society</w:t>
      </w:r>
      <w:proofErr w:type="spellEnd"/>
      <w:r w:rsidR="00E932B9" w:rsidRPr="00223222">
        <w:rPr>
          <w:rFonts w:ascii="Arial" w:hAnsi="Arial" w:cs="Arial"/>
        </w:rPr>
        <w:t xml:space="preserve"> z 2018 roku: </w:t>
      </w:r>
      <w:r w:rsidR="00223222" w:rsidRPr="00223222">
        <w:rPr>
          <w:rFonts w:ascii="Arial" w:hAnsi="Arial" w:cs="Arial"/>
        </w:rPr>
        <w:t>Martin K.A et al.</w:t>
      </w:r>
      <w:r w:rsidR="00223222">
        <w:rPr>
          <w:rFonts w:ascii="Arial" w:hAnsi="Arial" w:cs="Arial"/>
        </w:rPr>
        <w:t xml:space="preserve"> </w:t>
      </w:r>
      <w:r w:rsidR="00E932B9" w:rsidRPr="00E932B9">
        <w:rPr>
          <w:rFonts w:ascii="Arial" w:hAnsi="Arial" w:cs="Arial"/>
          <w:i/>
          <w:lang w:val="en-US"/>
        </w:rPr>
        <w:t xml:space="preserve">Evaluation and Treatment of </w:t>
      </w:r>
      <w:proofErr w:type="spellStart"/>
      <w:r w:rsidR="00E932B9" w:rsidRPr="00E932B9">
        <w:rPr>
          <w:rFonts w:ascii="Arial" w:hAnsi="Arial" w:cs="Arial"/>
          <w:i/>
          <w:lang w:val="en-US"/>
        </w:rPr>
        <w:t>Hirsutism</w:t>
      </w:r>
      <w:proofErr w:type="spellEnd"/>
      <w:r w:rsidR="00E932B9" w:rsidRPr="00E932B9">
        <w:rPr>
          <w:rFonts w:ascii="Arial" w:hAnsi="Arial" w:cs="Arial"/>
          <w:i/>
          <w:lang w:val="en-US"/>
        </w:rPr>
        <w:t xml:space="preserve"> In Premenopausal Women: an Endocrine Society Clinical Practice Guideline</w:t>
      </w:r>
      <w:r w:rsidR="00E932B9" w:rsidRPr="00E932B9">
        <w:rPr>
          <w:rFonts w:ascii="Arial" w:hAnsi="Arial" w:cs="Arial"/>
          <w:lang w:val="en-US"/>
        </w:rPr>
        <w:t>.</w:t>
      </w:r>
      <w:r w:rsidR="00E932B9">
        <w:rPr>
          <w:rFonts w:ascii="Arial" w:hAnsi="Arial" w:cs="Arial"/>
          <w:lang w:val="en-US"/>
        </w:rPr>
        <w:t xml:space="preserve"> </w:t>
      </w:r>
      <w:r w:rsidR="00E932B9" w:rsidRPr="00A810A0">
        <w:rPr>
          <w:rFonts w:ascii="Arial" w:hAnsi="Arial" w:cs="Arial"/>
        </w:rPr>
        <w:t xml:space="preserve">J </w:t>
      </w:r>
      <w:proofErr w:type="spellStart"/>
      <w:r w:rsidR="00E932B9" w:rsidRPr="00A810A0">
        <w:rPr>
          <w:rFonts w:ascii="Arial" w:hAnsi="Arial" w:cs="Arial"/>
        </w:rPr>
        <w:t>Clin</w:t>
      </w:r>
      <w:proofErr w:type="spellEnd"/>
      <w:r w:rsidR="00E932B9" w:rsidRPr="00A810A0">
        <w:rPr>
          <w:rFonts w:ascii="Arial" w:hAnsi="Arial" w:cs="Arial"/>
        </w:rPr>
        <w:t xml:space="preserve"> </w:t>
      </w:r>
      <w:proofErr w:type="spellStart"/>
      <w:r w:rsidR="00E932B9" w:rsidRPr="00A810A0">
        <w:rPr>
          <w:rFonts w:ascii="Arial" w:hAnsi="Arial" w:cs="Arial"/>
        </w:rPr>
        <w:t>Endocrinol</w:t>
      </w:r>
      <w:proofErr w:type="spellEnd"/>
      <w:r w:rsidR="00E932B9" w:rsidRPr="00A810A0">
        <w:rPr>
          <w:rFonts w:ascii="Arial" w:hAnsi="Arial" w:cs="Arial"/>
        </w:rPr>
        <w:t xml:space="preserve"> </w:t>
      </w:r>
      <w:proofErr w:type="spellStart"/>
      <w:r w:rsidR="00E932B9" w:rsidRPr="00A810A0">
        <w:rPr>
          <w:rFonts w:ascii="Arial" w:hAnsi="Arial" w:cs="Arial"/>
        </w:rPr>
        <w:t>Metab</w:t>
      </w:r>
      <w:proofErr w:type="spellEnd"/>
      <w:r w:rsidR="00E932B9" w:rsidRPr="00A810A0">
        <w:rPr>
          <w:rFonts w:ascii="Arial" w:hAnsi="Arial" w:cs="Arial"/>
        </w:rPr>
        <w:t xml:space="preserve"> 2018;103:1-25.  </w:t>
      </w:r>
      <w:r w:rsidR="00E932B9" w:rsidRPr="00E932B9">
        <w:rPr>
          <w:rFonts w:ascii="Arial" w:hAnsi="Arial" w:cs="Arial"/>
        </w:rPr>
        <w:t xml:space="preserve">Ponadto w ramach </w:t>
      </w:r>
      <w:r w:rsidR="00E932B9" w:rsidRPr="00E932B9">
        <w:rPr>
          <w:rFonts w:ascii="Arial" w:hAnsi="Arial" w:cs="Arial"/>
        </w:rPr>
        <w:lastRenderedPageBreak/>
        <w:t xml:space="preserve">analizy genetycznej </w:t>
      </w:r>
      <w:r w:rsidR="00644750" w:rsidRPr="00644750">
        <w:rPr>
          <w:rFonts w:ascii="Arial" w:hAnsi="Arial" w:cs="Arial"/>
          <w:i/>
        </w:rPr>
        <w:t>genu CYP</w:t>
      </w:r>
      <w:r w:rsidR="00E932B9" w:rsidRPr="00644750">
        <w:rPr>
          <w:rFonts w:ascii="Arial" w:hAnsi="Arial" w:cs="Arial"/>
          <w:i/>
        </w:rPr>
        <w:t>21A2</w:t>
      </w:r>
      <w:r w:rsidR="00E932B9" w:rsidRPr="00E932B9">
        <w:rPr>
          <w:rFonts w:ascii="Arial" w:hAnsi="Arial" w:cs="Arial"/>
        </w:rPr>
        <w:t xml:space="preserve"> stwierdzono nową mutację</w:t>
      </w:r>
      <w:r w:rsidR="00E8088F">
        <w:rPr>
          <w:rFonts w:ascii="Arial" w:hAnsi="Arial" w:cs="Arial"/>
        </w:rPr>
        <w:t xml:space="preserve"> </w:t>
      </w:r>
      <w:r w:rsidR="00E8088F" w:rsidRPr="00E8088F">
        <w:rPr>
          <w:rFonts w:ascii="Arial" w:hAnsi="Arial" w:cs="Arial"/>
          <w:color w:val="000000"/>
          <w:shd w:val="clear" w:color="auto" w:fill="FFFFFF"/>
        </w:rPr>
        <w:t>c.1029delC</w:t>
      </w:r>
      <w:r w:rsidR="00644750">
        <w:rPr>
          <w:rFonts w:ascii="Arial" w:hAnsi="Arial" w:cs="Arial"/>
        </w:rPr>
        <w:t xml:space="preserve">, która została wpisana do bazy genetycznej </w:t>
      </w:r>
      <w:proofErr w:type="spellStart"/>
      <w:r w:rsidR="00E8088F">
        <w:rPr>
          <w:rFonts w:ascii="Arial" w:hAnsi="Arial" w:cs="Arial"/>
        </w:rPr>
        <w:t>Human</w:t>
      </w:r>
      <w:proofErr w:type="spellEnd"/>
      <w:r w:rsidR="00E8088F">
        <w:rPr>
          <w:rFonts w:ascii="Arial" w:hAnsi="Arial" w:cs="Arial"/>
        </w:rPr>
        <w:t xml:space="preserve"> </w:t>
      </w:r>
      <w:proofErr w:type="spellStart"/>
      <w:r w:rsidR="00E8088F">
        <w:rPr>
          <w:rFonts w:ascii="Arial" w:hAnsi="Arial" w:cs="Arial"/>
        </w:rPr>
        <w:t>Gene</w:t>
      </w:r>
      <w:proofErr w:type="spellEnd"/>
      <w:r w:rsidR="00E8088F">
        <w:rPr>
          <w:rFonts w:ascii="Arial" w:hAnsi="Arial" w:cs="Arial"/>
        </w:rPr>
        <w:t xml:space="preserve"> </w:t>
      </w:r>
      <w:proofErr w:type="spellStart"/>
      <w:r w:rsidR="00E8088F">
        <w:rPr>
          <w:rFonts w:ascii="Arial" w:hAnsi="Arial" w:cs="Arial"/>
        </w:rPr>
        <w:t>Mutation</w:t>
      </w:r>
      <w:proofErr w:type="spellEnd"/>
      <w:r w:rsidR="00E8088F">
        <w:rPr>
          <w:rFonts w:ascii="Arial" w:hAnsi="Arial" w:cs="Arial"/>
        </w:rPr>
        <w:t xml:space="preserve"> </w:t>
      </w:r>
      <w:proofErr w:type="spellStart"/>
      <w:r w:rsidR="00E8088F">
        <w:rPr>
          <w:rFonts w:ascii="Arial" w:hAnsi="Arial" w:cs="Arial"/>
        </w:rPr>
        <w:t>Database</w:t>
      </w:r>
      <w:proofErr w:type="spellEnd"/>
      <w:r w:rsidR="00E8088F">
        <w:rPr>
          <w:rFonts w:ascii="Arial" w:hAnsi="Arial" w:cs="Arial"/>
        </w:rPr>
        <w:t>.</w:t>
      </w:r>
      <w:r w:rsidR="00E932B9">
        <w:rPr>
          <w:rFonts w:ascii="Arial" w:hAnsi="Arial" w:cs="Arial"/>
        </w:rPr>
        <w:t xml:space="preserve"> </w:t>
      </w:r>
      <w:r w:rsidR="00E932B9" w:rsidRPr="00E932B9">
        <w:rPr>
          <w:rFonts w:ascii="Arial" w:hAnsi="Arial" w:cs="Arial"/>
        </w:rPr>
        <w:t xml:space="preserve">    </w:t>
      </w:r>
    </w:p>
    <w:p w:rsidR="000C185C" w:rsidRDefault="00167A68" w:rsidP="006C2C89">
      <w:pPr>
        <w:spacing w:line="360" w:lineRule="auto"/>
        <w:ind w:firstLine="708"/>
        <w:jc w:val="both"/>
        <w:rPr>
          <w:rFonts w:ascii="Arial" w:hAnsi="Arial" w:cs="Arial"/>
        </w:rPr>
      </w:pPr>
      <w:r>
        <w:rPr>
          <w:rFonts w:ascii="Arial" w:hAnsi="Arial" w:cs="Arial"/>
        </w:rPr>
        <w:t xml:space="preserve">W  </w:t>
      </w:r>
      <w:r w:rsidR="00976DA6">
        <w:rPr>
          <w:rFonts w:ascii="Arial" w:hAnsi="Arial" w:cs="Arial"/>
        </w:rPr>
        <w:t xml:space="preserve">drugim </w:t>
      </w:r>
      <w:r>
        <w:rPr>
          <w:rFonts w:ascii="Arial" w:hAnsi="Arial" w:cs="Arial"/>
        </w:rPr>
        <w:t>badaniu</w:t>
      </w:r>
      <w:r w:rsidR="00976DA6">
        <w:rPr>
          <w:rFonts w:ascii="Arial" w:hAnsi="Arial" w:cs="Arial"/>
        </w:rPr>
        <w:t xml:space="preserve"> (publikacja 3) wykazano, iż jakość wykorzystanego testu</w:t>
      </w:r>
      <w:r w:rsidR="00195D3B">
        <w:rPr>
          <w:rFonts w:ascii="Arial" w:hAnsi="Arial" w:cs="Arial"/>
        </w:rPr>
        <w:t xml:space="preserve"> biochemicznego</w:t>
      </w:r>
      <w:r w:rsidR="00976DA6">
        <w:rPr>
          <w:rFonts w:ascii="Arial" w:hAnsi="Arial" w:cs="Arial"/>
        </w:rPr>
        <w:t xml:space="preserve"> ma kluczowe </w:t>
      </w:r>
      <w:r w:rsidR="002D5D44">
        <w:rPr>
          <w:rFonts w:ascii="Arial" w:hAnsi="Arial" w:cs="Arial"/>
        </w:rPr>
        <w:t xml:space="preserve">znaczenie dla </w:t>
      </w:r>
      <w:r w:rsidR="00976DA6">
        <w:rPr>
          <w:rFonts w:ascii="Arial" w:hAnsi="Arial" w:cs="Arial"/>
        </w:rPr>
        <w:t>dalszej diagnostyki w kierunku WPN</w:t>
      </w:r>
      <w:r w:rsidR="002D5D44">
        <w:rPr>
          <w:rFonts w:ascii="Arial" w:hAnsi="Arial" w:cs="Arial"/>
        </w:rPr>
        <w:t xml:space="preserve"> i rozpoznania </w:t>
      </w:r>
      <w:r w:rsidR="000C185C">
        <w:rPr>
          <w:rFonts w:ascii="Arial" w:hAnsi="Arial" w:cs="Arial"/>
        </w:rPr>
        <w:t>choroby</w:t>
      </w:r>
      <w:r w:rsidR="00976DA6">
        <w:rPr>
          <w:rFonts w:ascii="Arial" w:hAnsi="Arial" w:cs="Arial"/>
        </w:rPr>
        <w:t xml:space="preserve">. W tym badaniu </w:t>
      </w:r>
      <w:r w:rsidR="0085689D">
        <w:rPr>
          <w:rFonts w:ascii="Arial" w:hAnsi="Arial" w:cs="Arial"/>
        </w:rPr>
        <w:t xml:space="preserve">analizę przeprowadzono u 39 kobiet </w:t>
      </w:r>
      <w:r w:rsidR="00D26D61">
        <w:rPr>
          <w:rFonts w:ascii="Arial" w:hAnsi="Arial" w:cs="Arial"/>
        </w:rPr>
        <w:t xml:space="preserve">z </w:t>
      </w:r>
      <w:r w:rsidR="0085689D">
        <w:rPr>
          <w:rFonts w:ascii="Arial" w:hAnsi="Arial" w:cs="Arial"/>
        </w:rPr>
        <w:t xml:space="preserve">zespołem </w:t>
      </w:r>
      <w:proofErr w:type="spellStart"/>
      <w:r w:rsidR="0085689D">
        <w:rPr>
          <w:rFonts w:ascii="Arial" w:hAnsi="Arial" w:cs="Arial"/>
        </w:rPr>
        <w:t>hiperandrogenizacji</w:t>
      </w:r>
      <w:proofErr w:type="spellEnd"/>
      <w:r w:rsidR="0085689D">
        <w:rPr>
          <w:rFonts w:ascii="Arial" w:hAnsi="Arial" w:cs="Arial"/>
        </w:rPr>
        <w:t>, u których w ramach bada</w:t>
      </w:r>
      <w:r w:rsidR="002D5D44">
        <w:rPr>
          <w:rFonts w:ascii="Arial" w:hAnsi="Arial" w:cs="Arial"/>
        </w:rPr>
        <w:t xml:space="preserve">nia przesiewowego </w:t>
      </w:r>
      <w:r w:rsidR="00F8080C">
        <w:rPr>
          <w:rFonts w:ascii="Arial" w:hAnsi="Arial" w:cs="Arial"/>
        </w:rPr>
        <w:t xml:space="preserve">przyczyn zespołu </w:t>
      </w:r>
      <w:proofErr w:type="spellStart"/>
      <w:r w:rsidR="00F8080C">
        <w:rPr>
          <w:rFonts w:ascii="Arial" w:hAnsi="Arial" w:cs="Arial"/>
        </w:rPr>
        <w:t>hiperandrogenizcaji</w:t>
      </w:r>
      <w:proofErr w:type="spellEnd"/>
      <w:r w:rsidR="00F8080C">
        <w:rPr>
          <w:rFonts w:ascii="Arial" w:hAnsi="Arial" w:cs="Arial"/>
        </w:rPr>
        <w:t xml:space="preserve"> </w:t>
      </w:r>
      <w:r w:rsidR="00330C02">
        <w:rPr>
          <w:rFonts w:ascii="Arial" w:hAnsi="Arial" w:cs="Arial"/>
        </w:rPr>
        <w:t xml:space="preserve">oznaczano </w:t>
      </w:r>
      <w:r w:rsidR="0085689D">
        <w:rPr>
          <w:rFonts w:ascii="Arial" w:hAnsi="Arial" w:cs="Arial"/>
        </w:rPr>
        <w:t>17OHP</w:t>
      </w:r>
      <w:r w:rsidR="002D5D44">
        <w:rPr>
          <w:rFonts w:ascii="Arial" w:hAnsi="Arial" w:cs="Arial"/>
        </w:rPr>
        <w:t xml:space="preserve"> </w:t>
      </w:r>
      <w:r w:rsidR="00330C02">
        <w:rPr>
          <w:rFonts w:ascii="Arial" w:hAnsi="Arial" w:cs="Arial"/>
        </w:rPr>
        <w:t xml:space="preserve">w surowicy </w:t>
      </w:r>
      <w:r w:rsidR="002D5D44">
        <w:rPr>
          <w:rFonts w:ascii="Arial" w:hAnsi="Arial" w:cs="Arial"/>
        </w:rPr>
        <w:t>za pomocą dwóch różnych testów immunoenzymatycznych i metodą chromatografii cieczowej sprzężonej  ze spektrometrią mas</w:t>
      </w:r>
      <w:r w:rsidR="00330C02">
        <w:rPr>
          <w:rFonts w:ascii="Arial" w:hAnsi="Arial" w:cs="Arial"/>
        </w:rPr>
        <w:t xml:space="preserve"> (LC/MS-MS</w:t>
      </w:r>
      <w:r w:rsidR="00330C02" w:rsidRPr="00F968DA">
        <w:rPr>
          <w:rFonts w:ascii="Arial" w:hAnsi="Arial" w:cs="Arial"/>
        </w:rPr>
        <w:t>)</w:t>
      </w:r>
      <w:r w:rsidR="00F968DA" w:rsidRPr="00F968DA">
        <w:rPr>
          <w:rFonts w:ascii="Arial" w:hAnsi="Arial" w:cs="Arial"/>
        </w:rPr>
        <w:t xml:space="preserve"> oraz u 29</w:t>
      </w:r>
      <w:r w:rsidR="00F968DA">
        <w:rPr>
          <w:rFonts w:ascii="Arial" w:hAnsi="Arial" w:cs="Arial"/>
        </w:rPr>
        <w:t xml:space="preserve"> </w:t>
      </w:r>
      <w:r w:rsidR="007C552D">
        <w:rPr>
          <w:rFonts w:ascii="Arial" w:hAnsi="Arial" w:cs="Arial"/>
        </w:rPr>
        <w:t>zdrowych kobiet</w:t>
      </w:r>
      <w:r w:rsidR="002D5D44">
        <w:rPr>
          <w:rFonts w:ascii="Arial" w:hAnsi="Arial" w:cs="Arial"/>
        </w:rPr>
        <w:t xml:space="preserve">. </w:t>
      </w:r>
      <w:r w:rsidR="00330C02">
        <w:rPr>
          <w:rFonts w:ascii="Arial" w:hAnsi="Arial" w:cs="Arial"/>
        </w:rPr>
        <w:t>Stężenie</w:t>
      </w:r>
      <w:r w:rsidR="002D5D44">
        <w:rPr>
          <w:rFonts w:ascii="Arial" w:hAnsi="Arial" w:cs="Arial"/>
        </w:rPr>
        <w:t xml:space="preserve"> 17OHP</w:t>
      </w:r>
      <w:r w:rsidR="00EA5B25">
        <w:rPr>
          <w:rFonts w:ascii="Arial" w:hAnsi="Arial" w:cs="Arial"/>
        </w:rPr>
        <w:t>,</w:t>
      </w:r>
      <w:r w:rsidR="002D5D44">
        <w:rPr>
          <w:rFonts w:ascii="Arial" w:hAnsi="Arial" w:cs="Arial"/>
        </w:rPr>
        <w:t xml:space="preserve"> wykonywane za pomocą testów immunoenzymatycznych </w:t>
      </w:r>
      <w:proofErr w:type="spellStart"/>
      <w:r w:rsidR="00330C02">
        <w:rPr>
          <w:rFonts w:ascii="Arial" w:hAnsi="Arial" w:cs="Arial"/>
        </w:rPr>
        <w:t>NovaTec</w:t>
      </w:r>
      <w:proofErr w:type="spellEnd"/>
      <w:r w:rsidR="00330C02">
        <w:rPr>
          <w:rFonts w:ascii="Arial" w:hAnsi="Arial" w:cs="Arial"/>
        </w:rPr>
        <w:t>® i DRG®</w:t>
      </w:r>
      <w:r w:rsidR="00EA5B25">
        <w:rPr>
          <w:rFonts w:ascii="Arial" w:hAnsi="Arial" w:cs="Arial"/>
        </w:rPr>
        <w:t>,</w:t>
      </w:r>
      <w:r w:rsidR="00330C02">
        <w:rPr>
          <w:rFonts w:ascii="Arial" w:hAnsi="Arial" w:cs="Arial"/>
        </w:rPr>
        <w:t xml:space="preserve"> </w:t>
      </w:r>
      <w:r w:rsidR="002D5D44">
        <w:rPr>
          <w:rFonts w:ascii="Arial" w:hAnsi="Arial" w:cs="Arial"/>
        </w:rPr>
        <w:t xml:space="preserve"> </w:t>
      </w:r>
      <w:r w:rsidR="00330C02">
        <w:rPr>
          <w:rFonts w:ascii="Arial" w:hAnsi="Arial" w:cs="Arial"/>
        </w:rPr>
        <w:t>było istotnie wyższe niż oceniane metodą LC/MS-MS (p&lt;0.0001 i p&lt;0.0001). Różnice stwierdzono także pomiędzy testami immunoenzymatycznymi</w:t>
      </w:r>
      <w:r w:rsidR="004C1289">
        <w:rPr>
          <w:rFonts w:ascii="Arial" w:hAnsi="Arial" w:cs="Arial"/>
        </w:rPr>
        <w:t>,</w:t>
      </w:r>
      <w:r w:rsidR="00330C02">
        <w:rPr>
          <w:rFonts w:ascii="Arial" w:hAnsi="Arial" w:cs="Arial"/>
        </w:rPr>
        <w:t xml:space="preserve"> wykazując wyższe stężenia 17OHP</w:t>
      </w:r>
      <w:r w:rsidR="004C1289">
        <w:rPr>
          <w:rFonts w:ascii="Arial" w:hAnsi="Arial" w:cs="Arial"/>
        </w:rPr>
        <w:t>,</w:t>
      </w:r>
      <w:r w:rsidR="00330C02">
        <w:rPr>
          <w:rFonts w:ascii="Arial" w:hAnsi="Arial" w:cs="Arial"/>
        </w:rPr>
        <w:t xml:space="preserve"> wykonywane testem </w:t>
      </w:r>
      <w:proofErr w:type="spellStart"/>
      <w:r w:rsidR="00330C02">
        <w:rPr>
          <w:rFonts w:ascii="Arial" w:hAnsi="Arial" w:cs="Arial"/>
        </w:rPr>
        <w:t>NovaTec</w:t>
      </w:r>
      <w:proofErr w:type="spellEnd"/>
      <w:r w:rsidR="00330C02">
        <w:rPr>
          <w:rFonts w:ascii="Arial" w:hAnsi="Arial" w:cs="Arial"/>
        </w:rPr>
        <w:t xml:space="preserve">® niż DRG® </w:t>
      </w:r>
      <w:r w:rsidR="0035265C">
        <w:rPr>
          <w:rFonts w:ascii="Arial" w:hAnsi="Arial" w:cs="Arial"/>
        </w:rPr>
        <w:t xml:space="preserve">(p=0.006). </w:t>
      </w:r>
      <w:r w:rsidR="00195D3B">
        <w:rPr>
          <w:rFonts w:ascii="Arial" w:hAnsi="Arial" w:cs="Arial"/>
        </w:rPr>
        <w:t xml:space="preserve">Istotną różnicę stwierdzono także w pomiarach wykonanych wśród zdrowych kobiet w ramach grupy kontrolnej pomiędzy stężeniem 17OHP oznaczonym testem DRG® a </w:t>
      </w:r>
      <w:proofErr w:type="spellStart"/>
      <w:r w:rsidR="00195D3B">
        <w:rPr>
          <w:rFonts w:ascii="Arial" w:hAnsi="Arial" w:cs="Arial"/>
        </w:rPr>
        <w:t>LC-MS</w:t>
      </w:r>
      <w:proofErr w:type="spellEnd"/>
      <w:r w:rsidR="00195D3B">
        <w:rPr>
          <w:rFonts w:ascii="Arial" w:hAnsi="Arial" w:cs="Arial"/>
        </w:rPr>
        <w:t xml:space="preserve">/MS. Ponownie oznaczenia wykonane testem immunoenzymatycznym były istotnie wyższe (p&lt;0.0001). Wśród pacjentek z zespołem </w:t>
      </w:r>
      <w:proofErr w:type="spellStart"/>
      <w:r w:rsidR="00195D3B">
        <w:rPr>
          <w:rFonts w:ascii="Arial" w:hAnsi="Arial" w:cs="Arial"/>
        </w:rPr>
        <w:t>hiperandrogen</w:t>
      </w:r>
      <w:r w:rsidR="00B66EB0">
        <w:rPr>
          <w:rFonts w:ascii="Arial" w:hAnsi="Arial" w:cs="Arial"/>
        </w:rPr>
        <w:t>i</w:t>
      </w:r>
      <w:r w:rsidR="00195D3B">
        <w:rPr>
          <w:rFonts w:ascii="Arial" w:hAnsi="Arial" w:cs="Arial"/>
        </w:rPr>
        <w:t>zacji</w:t>
      </w:r>
      <w:proofErr w:type="spellEnd"/>
      <w:r w:rsidR="00195D3B">
        <w:rPr>
          <w:rFonts w:ascii="Arial" w:hAnsi="Arial" w:cs="Arial"/>
        </w:rPr>
        <w:t xml:space="preserve"> u</w:t>
      </w:r>
      <w:r w:rsidR="00FC1FE3">
        <w:rPr>
          <w:rFonts w:ascii="Arial" w:hAnsi="Arial" w:cs="Arial"/>
        </w:rPr>
        <w:t xml:space="preserve"> 56% stwierdzono stężenie 17OHP&gt;</w:t>
      </w:r>
      <w:r w:rsidR="00195D3B">
        <w:rPr>
          <w:rFonts w:ascii="Arial" w:hAnsi="Arial" w:cs="Arial"/>
        </w:rPr>
        <w:t xml:space="preserve">1.7 </w:t>
      </w:r>
      <w:proofErr w:type="spellStart"/>
      <w:r w:rsidR="00195D3B">
        <w:rPr>
          <w:rFonts w:ascii="Arial" w:hAnsi="Arial" w:cs="Arial"/>
        </w:rPr>
        <w:t>ng</w:t>
      </w:r>
      <w:proofErr w:type="spellEnd"/>
      <w:r w:rsidR="00195D3B">
        <w:rPr>
          <w:rFonts w:ascii="Arial" w:hAnsi="Arial" w:cs="Arial"/>
        </w:rPr>
        <w:t>/ml (5</w:t>
      </w:r>
      <w:r w:rsidR="00FC1FE3">
        <w:rPr>
          <w:rFonts w:ascii="Arial" w:hAnsi="Arial" w:cs="Arial"/>
        </w:rPr>
        <w:t xml:space="preserve">.1 </w:t>
      </w:r>
      <w:proofErr w:type="spellStart"/>
      <w:r w:rsidR="00FC1FE3">
        <w:rPr>
          <w:rFonts w:ascii="Arial" w:hAnsi="Arial" w:cs="Arial"/>
        </w:rPr>
        <w:t>nmol</w:t>
      </w:r>
      <w:proofErr w:type="spellEnd"/>
      <w:r w:rsidR="00FC1FE3">
        <w:rPr>
          <w:rFonts w:ascii="Arial" w:hAnsi="Arial" w:cs="Arial"/>
        </w:rPr>
        <w:t>/l</w:t>
      </w:r>
      <w:r w:rsidR="00195D3B">
        <w:rPr>
          <w:rFonts w:ascii="Arial" w:hAnsi="Arial" w:cs="Arial"/>
        </w:rPr>
        <w:t xml:space="preserve">) będące wskazaniem do dalszej diagnostyki </w:t>
      </w:r>
      <w:r w:rsidR="004127B2">
        <w:rPr>
          <w:rFonts w:ascii="Arial" w:hAnsi="Arial" w:cs="Arial"/>
        </w:rPr>
        <w:t>gdy zastosowano</w:t>
      </w:r>
      <w:r w:rsidR="00223222">
        <w:rPr>
          <w:rFonts w:ascii="Arial" w:hAnsi="Arial" w:cs="Arial"/>
        </w:rPr>
        <w:t xml:space="preserve"> test </w:t>
      </w:r>
      <w:proofErr w:type="spellStart"/>
      <w:r w:rsidR="00223222">
        <w:rPr>
          <w:rFonts w:ascii="Arial" w:hAnsi="Arial" w:cs="Arial"/>
        </w:rPr>
        <w:t>NovaTec</w:t>
      </w:r>
      <w:proofErr w:type="spellEnd"/>
      <w:r w:rsidR="00223222">
        <w:rPr>
          <w:rFonts w:ascii="Arial" w:hAnsi="Arial" w:cs="Arial"/>
        </w:rPr>
        <w:t>®, u 19.</w:t>
      </w:r>
      <w:r w:rsidR="00FC1FE3">
        <w:rPr>
          <w:rFonts w:ascii="Arial" w:hAnsi="Arial" w:cs="Arial"/>
        </w:rPr>
        <w:t>4</w:t>
      </w:r>
      <w:r w:rsidR="00195D3B">
        <w:rPr>
          <w:rFonts w:ascii="Arial" w:hAnsi="Arial" w:cs="Arial"/>
        </w:rPr>
        <w:t>%</w:t>
      </w:r>
      <w:r w:rsidR="004C1289">
        <w:rPr>
          <w:rFonts w:ascii="Arial" w:hAnsi="Arial" w:cs="Arial"/>
        </w:rPr>
        <w:t xml:space="preserve"> -</w:t>
      </w:r>
      <w:r w:rsidR="00195D3B">
        <w:rPr>
          <w:rFonts w:ascii="Arial" w:hAnsi="Arial" w:cs="Arial"/>
        </w:rPr>
        <w:t xml:space="preserve"> gdy wykona</w:t>
      </w:r>
      <w:r w:rsidR="00223222">
        <w:rPr>
          <w:rFonts w:ascii="Arial" w:hAnsi="Arial" w:cs="Arial"/>
        </w:rPr>
        <w:t>no badanie testem DRG® oraz u 7.</w:t>
      </w:r>
      <w:r w:rsidR="00FC1FE3">
        <w:rPr>
          <w:rFonts w:ascii="Arial" w:hAnsi="Arial" w:cs="Arial"/>
        </w:rPr>
        <w:t>9</w:t>
      </w:r>
      <w:r w:rsidR="00195D3B">
        <w:rPr>
          <w:rFonts w:ascii="Arial" w:hAnsi="Arial" w:cs="Arial"/>
        </w:rPr>
        <w:t xml:space="preserve">% </w:t>
      </w:r>
      <w:r w:rsidR="004C1289">
        <w:rPr>
          <w:rFonts w:ascii="Arial" w:hAnsi="Arial" w:cs="Arial"/>
        </w:rPr>
        <w:t xml:space="preserve">- </w:t>
      </w:r>
      <w:r w:rsidR="00195D3B">
        <w:rPr>
          <w:rFonts w:ascii="Arial" w:hAnsi="Arial" w:cs="Arial"/>
        </w:rPr>
        <w:t xml:space="preserve">gdy wykorzystano metodę </w:t>
      </w:r>
      <w:proofErr w:type="spellStart"/>
      <w:r w:rsidR="00195D3B">
        <w:rPr>
          <w:rFonts w:ascii="Arial" w:hAnsi="Arial" w:cs="Arial"/>
        </w:rPr>
        <w:t>LC-MS</w:t>
      </w:r>
      <w:proofErr w:type="spellEnd"/>
      <w:r w:rsidR="00195D3B">
        <w:rPr>
          <w:rFonts w:ascii="Arial" w:hAnsi="Arial" w:cs="Arial"/>
        </w:rPr>
        <w:t>/MS.</w:t>
      </w:r>
      <w:r w:rsidR="004127B2">
        <w:rPr>
          <w:rFonts w:ascii="Arial" w:hAnsi="Arial" w:cs="Arial"/>
        </w:rPr>
        <w:t xml:space="preserve"> Charakterystyka wszystkich zastosowanych testów </w:t>
      </w:r>
      <w:r w:rsidR="002E26BE">
        <w:rPr>
          <w:rFonts w:ascii="Arial" w:hAnsi="Arial" w:cs="Arial"/>
        </w:rPr>
        <w:t xml:space="preserve">na podstawie ostatecznego rozpoznania </w:t>
      </w:r>
      <w:r w:rsidR="000C185C">
        <w:rPr>
          <w:rFonts w:ascii="Arial" w:hAnsi="Arial" w:cs="Arial"/>
        </w:rPr>
        <w:t xml:space="preserve">przedstawiała się następująco: </w:t>
      </w:r>
    </w:p>
    <w:p w:rsidR="00D33133" w:rsidRDefault="00D33133" w:rsidP="006C2C89">
      <w:pPr>
        <w:spacing w:line="360" w:lineRule="auto"/>
        <w:ind w:firstLine="708"/>
        <w:jc w:val="both"/>
        <w:rPr>
          <w:rFonts w:ascii="Arial" w:hAnsi="Arial" w:cs="Arial"/>
        </w:rPr>
      </w:pPr>
    </w:p>
    <w:p w:rsidR="007815EF" w:rsidRDefault="007815EF" w:rsidP="006C2C89">
      <w:pPr>
        <w:spacing w:line="360" w:lineRule="auto"/>
        <w:ind w:firstLine="708"/>
        <w:jc w:val="both"/>
        <w:rPr>
          <w:rFonts w:ascii="Arial" w:hAnsi="Arial" w:cs="Arial"/>
        </w:rPr>
      </w:pPr>
    </w:p>
    <w:tbl>
      <w:tblPr>
        <w:tblStyle w:val="Tabela-Siatka"/>
        <w:tblW w:w="0" w:type="auto"/>
        <w:tblLook w:val="04A0"/>
      </w:tblPr>
      <w:tblGrid>
        <w:gridCol w:w="1668"/>
        <w:gridCol w:w="1417"/>
        <w:gridCol w:w="1418"/>
        <w:gridCol w:w="1559"/>
        <w:gridCol w:w="1559"/>
        <w:gridCol w:w="1418"/>
      </w:tblGrid>
      <w:tr w:rsidR="002E26BE" w:rsidTr="002E26BE">
        <w:tc>
          <w:tcPr>
            <w:tcW w:w="1668" w:type="dxa"/>
          </w:tcPr>
          <w:p w:rsidR="000C185C" w:rsidRPr="007B5E76" w:rsidRDefault="000C185C" w:rsidP="006C2C89">
            <w:pPr>
              <w:spacing w:line="360" w:lineRule="auto"/>
              <w:jc w:val="both"/>
              <w:rPr>
                <w:rFonts w:ascii="Arial" w:hAnsi="Arial" w:cs="Arial"/>
                <w:b/>
              </w:rPr>
            </w:pPr>
            <w:r w:rsidRPr="007B5E76">
              <w:rPr>
                <w:rFonts w:ascii="Arial" w:hAnsi="Arial" w:cs="Arial"/>
                <w:b/>
              </w:rPr>
              <w:t>TEST</w:t>
            </w:r>
          </w:p>
        </w:tc>
        <w:tc>
          <w:tcPr>
            <w:tcW w:w="1417" w:type="dxa"/>
          </w:tcPr>
          <w:p w:rsidR="000C185C" w:rsidRPr="007B5E76" w:rsidRDefault="000C185C" w:rsidP="006C2C89">
            <w:pPr>
              <w:spacing w:line="360" w:lineRule="auto"/>
              <w:jc w:val="both"/>
              <w:rPr>
                <w:rFonts w:ascii="Arial" w:hAnsi="Arial" w:cs="Arial"/>
                <w:b/>
              </w:rPr>
            </w:pPr>
            <w:r w:rsidRPr="007B5E76">
              <w:rPr>
                <w:rFonts w:ascii="Arial" w:hAnsi="Arial" w:cs="Arial"/>
                <w:b/>
              </w:rPr>
              <w:t>Czułość</w:t>
            </w:r>
            <w:r w:rsidR="002E26BE">
              <w:rPr>
                <w:rFonts w:ascii="Arial" w:hAnsi="Arial" w:cs="Arial"/>
                <w:b/>
              </w:rPr>
              <w:t xml:space="preserve"> (%)</w:t>
            </w:r>
          </w:p>
        </w:tc>
        <w:tc>
          <w:tcPr>
            <w:tcW w:w="1418" w:type="dxa"/>
          </w:tcPr>
          <w:p w:rsidR="000C185C" w:rsidRDefault="000C185C" w:rsidP="006C2C89">
            <w:pPr>
              <w:spacing w:line="360" w:lineRule="auto"/>
              <w:jc w:val="both"/>
              <w:rPr>
                <w:rFonts w:ascii="Arial" w:hAnsi="Arial" w:cs="Arial"/>
                <w:b/>
              </w:rPr>
            </w:pPr>
            <w:r w:rsidRPr="007B5E76">
              <w:rPr>
                <w:rFonts w:ascii="Arial" w:hAnsi="Arial" w:cs="Arial"/>
                <w:b/>
              </w:rPr>
              <w:t>Swoistość</w:t>
            </w:r>
          </w:p>
          <w:p w:rsidR="002E26BE" w:rsidRPr="007B5E76" w:rsidRDefault="002E26BE" w:rsidP="006C2C89">
            <w:pPr>
              <w:spacing w:line="360" w:lineRule="auto"/>
              <w:jc w:val="both"/>
              <w:rPr>
                <w:rFonts w:ascii="Arial" w:hAnsi="Arial" w:cs="Arial"/>
                <w:b/>
              </w:rPr>
            </w:pPr>
            <w:r>
              <w:rPr>
                <w:rFonts w:ascii="Arial" w:hAnsi="Arial" w:cs="Arial"/>
                <w:b/>
              </w:rPr>
              <w:t>(%)</w:t>
            </w:r>
          </w:p>
        </w:tc>
        <w:tc>
          <w:tcPr>
            <w:tcW w:w="1559" w:type="dxa"/>
          </w:tcPr>
          <w:p w:rsidR="000C185C" w:rsidRPr="007B5E76" w:rsidRDefault="007B5E76" w:rsidP="006C2C89">
            <w:pPr>
              <w:spacing w:line="360" w:lineRule="auto"/>
              <w:jc w:val="both"/>
              <w:rPr>
                <w:rFonts w:ascii="Arial" w:hAnsi="Arial" w:cs="Arial"/>
                <w:b/>
              </w:rPr>
            </w:pPr>
            <w:r w:rsidRPr="007B5E76">
              <w:rPr>
                <w:rFonts w:ascii="Arial" w:hAnsi="Arial" w:cs="Arial"/>
                <w:b/>
              </w:rPr>
              <w:t>Dodatnia wartość predykcyjna (</w:t>
            </w:r>
            <w:r w:rsidR="000C185C" w:rsidRPr="007B5E76">
              <w:rPr>
                <w:rFonts w:ascii="Arial" w:hAnsi="Arial" w:cs="Arial"/>
                <w:b/>
              </w:rPr>
              <w:t>PPV</w:t>
            </w:r>
            <w:r w:rsidRPr="007B5E76">
              <w:rPr>
                <w:rFonts w:ascii="Arial" w:hAnsi="Arial" w:cs="Arial"/>
                <w:b/>
              </w:rPr>
              <w:t>)</w:t>
            </w:r>
            <w:r w:rsidR="002E26BE">
              <w:rPr>
                <w:rFonts w:ascii="Arial" w:hAnsi="Arial" w:cs="Arial"/>
                <w:b/>
              </w:rPr>
              <w:t>(%)</w:t>
            </w:r>
          </w:p>
        </w:tc>
        <w:tc>
          <w:tcPr>
            <w:tcW w:w="1559" w:type="dxa"/>
          </w:tcPr>
          <w:p w:rsidR="007B5E76" w:rsidRPr="007B5E76" w:rsidRDefault="007B5E76" w:rsidP="006C2C89">
            <w:pPr>
              <w:spacing w:line="360" w:lineRule="auto"/>
              <w:jc w:val="both"/>
              <w:rPr>
                <w:rFonts w:ascii="Arial" w:hAnsi="Arial" w:cs="Arial"/>
                <w:b/>
              </w:rPr>
            </w:pPr>
            <w:r w:rsidRPr="007B5E76">
              <w:rPr>
                <w:rFonts w:ascii="Arial" w:hAnsi="Arial" w:cs="Arial"/>
                <w:b/>
              </w:rPr>
              <w:t>Ujemna</w:t>
            </w:r>
          </w:p>
          <w:p w:rsidR="007B5E76" w:rsidRPr="007B5E76" w:rsidRDefault="007B5E76" w:rsidP="006C2C89">
            <w:pPr>
              <w:spacing w:line="360" w:lineRule="auto"/>
              <w:jc w:val="both"/>
              <w:rPr>
                <w:rFonts w:ascii="Arial" w:hAnsi="Arial" w:cs="Arial"/>
                <w:b/>
              </w:rPr>
            </w:pPr>
            <w:r w:rsidRPr="007B5E76">
              <w:rPr>
                <w:rFonts w:ascii="Arial" w:hAnsi="Arial" w:cs="Arial"/>
                <w:b/>
              </w:rPr>
              <w:t>wartość predykcyjna</w:t>
            </w:r>
          </w:p>
          <w:p w:rsidR="000C185C" w:rsidRPr="007B5E76" w:rsidRDefault="007B5E76" w:rsidP="006C2C89">
            <w:pPr>
              <w:spacing w:line="360" w:lineRule="auto"/>
              <w:jc w:val="both"/>
              <w:rPr>
                <w:rFonts w:ascii="Arial" w:hAnsi="Arial" w:cs="Arial"/>
                <w:b/>
              </w:rPr>
            </w:pPr>
            <w:r w:rsidRPr="007B5E76">
              <w:rPr>
                <w:rFonts w:ascii="Arial" w:hAnsi="Arial" w:cs="Arial"/>
                <w:b/>
              </w:rPr>
              <w:t>(</w:t>
            </w:r>
            <w:r w:rsidR="000C185C" w:rsidRPr="007B5E76">
              <w:rPr>
                <w:rFonts w:ascii="Arial" w:hAnsi="Arial" w:cs="Arial"/>
                <w:b/>
              </w:rPr>
              <w:t>NPV</w:t>
            </w:r>
            <w:r w:rsidRPr="007B5E76">
              <w:rPr>
                <w:rFonts w:ascii="Arial" w:hAnsi="Arial" w:cs="Arial"/>
                <w:b/>
              </w:rPr>
              <w:t>)</w:t>
            </w:r>
            <w:r w:rsidR="002E26BE">
              <w:rPr>
                <w:rFonts w:ascii="Arial" w:hAnsi="Arial" w:cs="Arial"/>
                <w:b/>
              </w:rPr>
              <w:t>(%)</w:t>
            </w:r>
          </w:p>
        </w:tc>
        <w:tc>
          <w:tcPr>
            <w:tcW w:w="1418" w:type="dxa"/>
          </w:tcPr>
          <w:p w:rsidR="000C185C" w:rsidRPr="007B5E76" w:rsidRDefault="007B5E76" w:rsidP="007B5E76">
            <w:pPr>
              <w:spacing w:line="360" w:lineRule="auto"/>
              <w:jc w:val="both"/>
              <w:rPr>
                <w:rFonts w:ascii="Arial" w:hAnsi="Arial" w:cs="Arial"/>
                <w:b/>
              </w:rPr>
            </w:pPr>
            <w:r w:rsidRPr="007B5E76">
              <w:rPr>
                <w:rFonts w:ascii="Arial" w:hAnsi="Arial" w:cs="Arial"/>
                <w:b/>
              </w:rPr>
              <w:t>Precyzja</w:t>
            </w:r>
          </w:p>
          <w:p w:rsidR="007B5E76" w:rsidRDefault="007B5E76" w:rsidP="007B5E76">
            <w:pPr>
              <w:spacing w:line="360" w:lineRule="auto"/>
              <w:jc w:val="both"/>
              <w:rPr>
                <w:rFonts w:ascii="Arial" w:hAnsi="Arial" w:cs="Arial"/>
                <w:b/>
              </w:rPr>
            </w:pPr>
            <w:r w:rsidRPr="007B5E76">
              <w:rPr>
                <w:rFonts w:ascii="Arial" w:hAnsi="Arial" w:cs="Arial"/>
                <w:b/>
              </w:rPr>
              <w:t>(</w:t>
            </w:r>
            <w:proofErr w:type="spellStart"/>
            <w:r w:rsidRPr="007B5E76">
              <w:rPr>
                <w:rFonts w:ascii="Arial" w:hAnsi="Arial" w:cs="Arial"/>
                <w:b/>
              </w:rPr>
              <w:t>Accuracy</w:t>
            </w:r>
            <w:proofErr w:type="spellEnd"/>
            <w:r w:rsidRPr="007B5E76">
              <w:rPr>
                <w:rFonts w:ascii="Arial" w:hAnsi="Arial" w:cs="Arial"/>
                <w:b/>
              </w:rPr>
              <w:t>)</w:t>
            </w:r>
          </w:p>
          <w:p w:rsidR="002E26BE" w:rsidRPr="007B5E76" w:rsidRDefault="002E26BE" w:rsidP="007B5E76">
            <w:pPr>
              <w:spacing w:line="360" w:lineRule="auto"/>
              <w:jc w:val="both"/>
              <w:rPr>
                <w:rFonts w:ascii="Arial" w:hAnsi="Arial" w:cs="Arial"/>
                <w:b/>
              </w:rPr>
            </w:pPr>
            <w:r>
              <w:rPr>
                <w:rFonts w:ascii="Arial" w:hAnsi="Arial" w:cs="Arial"/>
                <w:b/>
              </w:rPr>
              <w:t>(%)</w:t>
            </w:r>
          </w:p>
        </w:tc>
      </w:tr>
      <w:tr w:rsidR="002E26BE" w:rsidTr="002E26BE">
        <w:tc>
          <w:tcPr>
            <w:tcW w:w="1668" w:type="dxa"/>
          </w:tcPr>
          <w:p w:rsidR="000C185C" w:rsidRDefault="002E26BE" w:rsidP="006C2C89">
            <w:pPr>
              <w:spacing w:line="360" w:lineRule="auto"/>
              <w:jc w:val="both"/>
              <w:rPr>
                <w:rFonts w:ascii="Arial" w:hAnsi="Arial" w:cs="Arial"/>
              </w:rPr>
            </w:pPr>
            <w:r>
              <w:rPr>
                <w:rFonts w:ascii="Arial" w:hAnsi="Arial" w:cs="Arial"/>
              </w:rPr>
              <w:t xml:space="preserve">ELISA </w:t>
            </w:r>
            <w:proofErr w:type="spellStart"/>
            <w:r>
              <w:rPr>
                <w:rFonts w:ascii="Arial" w:hAnsi="Arial" w:cs="Arial"/>
              </w:rPr>
              <w:t>NovaTec</w:t>
            </w:r>
            <w:proofErr w:type="spellEnd"/>
            <w:r>
              <w:rPr>
                <w:rFonts w:ascii="Arial" w:hAnsi="Arial" w:cs="Arial"/>
              </w:rPr>
              <w:t>®</w:t>
            </w:r>
          </w:p>
        </w:tc>
        <w:tc>
          <w:tcPr>
            <w:tcW w:w="1417" w:type="dxa"/>
          </w:tcPr>
          <w:p w:rsidR="000C185C" w:rsidRDefault="002E26BE" w:rsidP="006C2C89">
            <w:pPr>
              <w:spacing w:line="360" w:lineRule="auto"/>
              <w:jc w:val="both"/>
              <w:rPr>
                <w:rFonts w:ascii="Arial" w:hAnsi="Arial" w:cs="Arial"/>
              </w:rPr>
            </w:pPr>
            <w:r>
              <w:rPr>
                <w:rFonts w:ascii="Arial" w:hAnsi="Arial" w:cs="Arial"/>
              </w:rPr>
              <w:t>100</w:t>
            </w:r>
          </w:p>
        </w:tc>
        <w:tc>
          <w:tcPr>
            <w:tcW w:w="1418" w:type="dxa"/>
          </w:tcPr>
          <w:p w:rsidR="000C185C" w:rsidRDefault="002E26BE" w:rsidP="006C2C89">
            <w:pPr>
              <w:spacing w:line="360" w:lineRule="auto"/>
              <w:jc w:val="both"/>
              <w:rPr>
                <w:rFonts w:ascii="Arial" w:hAnsi="Arial" w:cs="Arial"/>
              </w:rPr>
            </w:pPr>
            <w:r>
              <w:rPr>
                <w:rFonts w:ascii="Arial" w:hAnsi="Arial" w:cs="Arial"/>
              </w:rPr>
              <w:t>50</w:t>
            </w:r>
          </w:p>
        </w:tc>
        <w:tc>
          <w:tcPr>
            <w:tcW w:w="1559" w:type="dxa"/>
          </w:tcPr>
          <w:p w:rsidR="000C185C" w:rsidRDefault="002E26BE" w:rsidP="006C2C89">
            <w:pPr>
              <w:spacing w:line="360" w:lineRule="auto"/>
              <w:jc w:val="both"/>
              <w:rPr>
                <w:rFonts w:ascii="Arial" w:hAnsi="Arial" w:cs="Arial"/>
              </w:rPr>
            </w:pPr>
            <w:r>
              <w:rPr>
                <w:rFonts w:ascii="Arial" w:hAnsi="Arial" w:cs="Arial"/>
              </w:rPr>
              <w:t>15</w:t>
            </w:r>
          </w:p>
        </w:tc>
        <w:tc>
          <w:tcPr>
            <w:tcW w:w="1559" w:type="dxa"/>
          </w:tcPr>
          <w:p w:rsidR="000C185C" w:rsidRDefault="002E26BE" w:rsidP="006C2C89">
            <w:pPr>
              <w:spacing w:line="360" w:lineRule="auto"/>
              <w:jc w:val="both"/>
              <w:rPr>
                <w:rFonts w:ascii="Arial" w:hAnsi="Arial" w:cs="Arial"/>
              </w:rPr>
            </w:pPr>
            <w:r>
              <w:rPr>
                <w:rFonts w:ascii="Arial" w:hAnsi="Arial" w:cs="Arial"/>
              </w:rPr>
              <w:t>100</w:t>
            </w:r>
          </w:p>
        </w:tc>
        <w:tc>
          <w:tcPr>
            <w:tcW w:w="1418" w:type="dxa"/>
          </w:tcPr>
          <w:p w:rsidR="000C185C" w:rsidRDefault="002E26BE" w:rsidP="006C2C89">
            <w:pPr>
              <w:spacing w:line="360" w:lineRule="auto"/>
              <w:jc w:val="both"/>
              <w:rPr>
                <w:rFonts w:ascii="Arial" w:hAnsi="Arial" w:cs="Arial"/>
              </w:rPr>
            </w:pPr>
            <w:r>
              <w:rPr>
                <w:rFonts w:ascii="Arial" w:hAnsi="Arial" w:cs="Arial"/>
              </w:rPr>
              <w:t>54</w:t>
            </w:r>
          </w:p>
        </w:tc>
      </w:tr>
      <w:tr w:rsidR="002E26BE" w:rsidTr="002E26BE">
        <w:tc>
          <w:tcPr>
            <w:tcW w:w="1668" w:type="dxa"/>
          </w:tcPr>
          <w:p w:rsidR="000C185C" w:rsidRDefault="002E26BE" w:rsidP="006C2C89">
            <w:pPr>
              <w:spacing w:line="360" w:lineRule="auto"/>
              <w:jc w:val="both"/>
              <w:rPr>
                <w:rFonts w:ascii="Arial" w:hAnsi="Arial" w:cs="Arial"/>
              </w:rPr>
            </w:pPr>
            <w:r>
              <w:rPr>
                <w:rFonts w:ascii="Arial" w:hAnsi="Arial" w:cs="Arial"/>
              </w:rPr>
              <w:t>ELISA</w:t>
            </w:r>
          </w:p>
          <w:p w:rsidR="002E26BE" w:rsidRDefault="002E26BE" w:rsidP="006C2C89">
            <w:pPr>
              <w:spacing w:line="360" w:lineRule="auto"/>
              <w:jc w:val="both"/>
              <w:rPr>
                <w:rFonts w:ascii="Arial" w:hAnsi="Arial" w:cs="Arial"/>
              </w:rPr>
            </w:pPr>
            <w:r>
              <w:rPr>
                <w:rFonts w:ascii="Arial" w:hAnsi="Arial" w:cs="Arial"/>
              </w:rPr>
              <w:t>DRG®</w:t>
            </w:r>
          </w:p>
        </w:tc>
        <w:tc>
          <w:tcPr>
            <w:tcW w:w="1417" w:type="dxa"/>
          </w:tcPr>
          <w:p w:rsidR="000C185C" w:rsidRDefault="002E26BE" w:rsidP="006C2C89">
            <w:pPr>
              <w:spacing w:line="360" w:lineRule="auto"/>
              <w:jc w:val="both"/>
              <w:rPr>
                <w:rFonts w:ascii="Arial" w:hAnsi="Arial" w:cs="Arial"/>
              </w:rPr>
            </w:pPr>
            <w:r>
              <w:rPr>
                <w:rFonts w:ascii="Arial" w:hAnsi="Arial" w:cs="Arial"/>
              </w:rPr>
              <w:t>100</w:t>
            </w:r>
          </w:p>
        </w:tc>
        <w:tc>
          <w:tcPr>
            <w:tcW w:w="1418" w:type="dxa"/>
          </w:tcPr>
          <w:p w:rsidR="000C185C" w:rsidRDefault="002E26BE" w:rsidP="006C2C89">
            <w:pPr>
              <w:spacing w:line="360" w:lineRule="auto"/>
              <w:jc w:val="both"/>
              <w:rPr>
                <w:rFonts w:ascii="Arial" w:hAnsi="Arial" w:cs="Arial"/>
              </w:rPr>
            </w:pPr>
            <w:r>
              <w:rPr>
                <w:rFonts w:ascii="Arial" w:hAnsi="Arial" w:cs="Arial"/>
              </w:rPr>
              <w:t>93</w:t>
            </w:r>
          </w:p>
        </w:tc>
        <w:tc>
          <w:tcPr>
            <w:tcW w:w="1559" w:type="dxa"/>
          </w:tcPr>
          <w:p w:rsidR="000C185C" w:rsidRDefault="002E26BE" w:rsidP="006C2C89">
            <w:pPr>
              <w:spacing w:line="360" w:lineRule="auto"/>
              <w:jc w:val="both"/>
              <w:rPr>
                <w:rFonts w:ascii="Arial" w:hAnsi="Arial" w:cs="Arial"/>
              </w:rPr>
            </w:pPr>
            <w:r>
              <w:rPr>
                <w:rFonts w:ascii="Arial" w:hAnsi="Arial" w:cs="Arial"/>
              </w:rPr>
              <w:t>43</w:t>
            </w:r>
          </w:p>
        </w:tc>
        <w:tc>
          <w:tcPr>
            <w:tcW w:w="1559" w:type="dxa"/>
          </w:tcPr>
          <w:p w:rsidR="000C185C" w:rsidRDefault="002E26BE" w:rsidP="006C2C89">
            <w:pPr>
              <w:spacing w:line="360" w:lineRule="auto"/>
              <w:jc w:val="both"/>
              <w:rPr>
                <w:rFonts w:ascii="Arial" w:hAnsi="Arial" w:cs="Arial"/>
              </w:rPr>
            </w:pPr>
            <w:r>
              <w:rPr>
                <w:rFonts w:ascii="Arial" w:hAnsi="Arial" w:cs="Arial"/>
              </w:rPr>
              <w:t>100</w:t>
            </w:r>
          </w:p>
        </w:tc>
        <w:tc>
          <w:tcPr>
            <w:tcW w:w="1418" w:type="dxa"/>
          </w:tcPr>
          <w:p w:rsidR="000C185C" w:rsidRDefault="002E26BE" w:rsidP="006C2C89">
            <w:pPr>
              <w:spacing w:line="360" w:lineRule="auto"/>
              <w:jc w:val="both"/>
              <w:rPr>
                <w:rFonts w:ascii="Arial" w:hAnsi="Arial" w:cs="Arial"/>
              </w:rPr>
            </w:pPr>
            <w:r>
              <w:rPr>
                <w:rFonts w:ascii="Arial" w:hAnsi="Arial" w:cs="Arial"/>
              </w:rPr>
              <w:t>93</w:t>
            </w:r>
          </w:p>
        </w:tc>
      </w:tr>
      <w:tr w:rsidR="002E26BE" w:rsidTr="002E26BE">
        <w:tc>
          <w:tcPr>
            <w:tcW w:w="1668" w:type="dxa"/>
          </w:tcPr>
          <w:p w:rsidR="000C185C" w:rsidRDefault="002E26BE" w:rsidP="006C2C89">
            <w:pPr>
              <w:spacing w:line="360" w:lineRule="auto"/>
              <w:jc w:val="both"/>
              <w:rPr>
                <w:rFonts w:ascii="Arial" w:hAnsi="Arial" w:cs="Arial"/>
              </w:rPr>
            </w:pPr>
            <w:proofErr w:type="spellStart"/>
            <w:r>
              <w:rPr>
                <w:rFonts w:ascii="Arial" w:hAnsi="Arial" w:cs="Arial"/>
              </w:rPr>
              <w:t>LC-MS</w:t>
            </w:r>
            <w:proofErr w:type="spellEnd"/>
            <w:r>
              <w:rPr>
                <w:rFonts w:ascii="Arial" w:hAnsi="Arial" w:cs="Arial"/>
              </w:rPr>
              <w:t>/MS</w:t>
            </w:r>
          </w:p>
        </w:tc>
        <w:tc>
          <w:tcPr>
            <w:tcW w:w="1417" w:type="dxa"/>
          </w:tcPr>
          <w:p w:rsidR="000C185C" w:rsidRDefault="002E26BE" w:rsidP="006C2C89">
            <w:pPr>
              <w:spacing w:line="360" w:lineRule="auto"/>
              <w:jc w:val="both"/>
              <w:rPr>
                <w:rFonts w:ascii="Arial" w:hAnsi="Arial" w:cs="Arial"/>
              </w:rPr>
            </w:pPr>
            <w:r>
              <w:rPr>
                <w:rFonts w:ascii="Arial" w:hAnsi="Arial" w:cs="Arial"/>
              </w:rPr>
              <w:t>100</w:t>
            </w:r>
          </w:p>
        </w:tc>
        <w:tc>
          <w:tcPr>
            <w:tcW w:w="1418" w:type="dxa"/>
          </w:tcPr>
          <w:p w:rsidR="000C185C" w:rsidRDefault="002E26BE" w:rsidP="006C2C89">
            <w:pPr>
              <w:spacing w:line="360" w:lineRule="auto"/>
              <w:jc w:val="both"/>
              <w:rPr>
                <w:rFonts w:ascii="Arial" w:hAnsi="Arial" w:cs="Arial"/>
              </w:rPr>
            </w:pPr>
            <w:r>
              <w:rPr>
                <w:rFonts w:ascii="Arial" w:hAnsi="Arial" w:cs="Arial"/>
              </w:rPr>
              <w:t>100</w:t>
            </w:r>
          </w:p>
        </w:tc>
        <w:tc>
          <w:tcPr>
            <w:tcW w:w="1559" w:type="dxa"/>
          </w:tcPr>
          <w:p w:rsidR="000C185C" w:rsidRDefault="002E26BE" w:rsidP="006C2C89">
            <w:pPr>
              <w:spacing w:line="360" w:lineRule="auto"/>
              <w:jc w:val="both"/>
              <w:rPr>
                <w:rFonts w:ascii="Arial" w:hAnsi="Arial" w:cs="Arial"/>
              </w:rPr>
            </w:pPr>
            <w:r>
              <w:rPr>
                <w:rFonts w:ascii="Arial" w:hAnsi="Arial" w:cs="Arial"/>
              </w:rPr>
              <w:t>100</w:t>
            </w:r>
          </w:p>
        </w:tc>
        <w:tc>
          <w:tcPr>
            <w:tcW w:w="1559" w:type="dxa"/>
          </w:tcPr>
          <w:p w:rsidR="000C185C" w:rsidRDefault="002E26BE" w:rsidP="006C2C89">
            <w:pPr>
              <w:spacing w:line="360" w:lineRule="auto"/>
              <w:jc w:val="both"/>
              <w:rPr>
                <w:rFonts w:ascii="Arial" w:hAnsi="Arial" w:cs="Arial"/>
              </w:rPr>
            </w:pPr>
            <w:r>
              <w:rPr>
                <w:rFonts w:ascii="Arial" w:hAnsi="Arial" w:cs="Arial"/>
              </w:rPr>
              <w:t>100</w:t>
            </w:r>
          </w:p>
        </w:tc>
        <w:tc>
          <w:tcPr>
            <w:tcW w:w="1418" w:type="dxa"/>
          </w:tcPr>
          <w:p w:rsidR="000C185C" w:rsidRDefault="002E26BE" w:rsidP="006C2C89">
            <w:pPr>
              <w:spacing w:line="360" w:lineRule="auto"/>
              <w:jc w:val="both"/>
              <w:rPr>
                <w:rFonts w:ascii="Arial" w:hAnsi="Arial" w:cs="Arial"/>
              </w:rPr>
            </w:pPr>
            <w:r>
              <w:rPr>
                <w:rFonts w:ascii="Arial" w:hAnsi="Arial" w:cs="Arial"/>
              </w:rPr>
              <w:t>100</w:t>
            </w:r>
          </w:p>
        </w:tc>
      </w:tr>
    </w:tbl>
    <w:p w:rsidR="00E049DE" w:rsidRDefault="00E049DE" w:rsidP="00E049DE">
      <w:pPr>
        <w:spacing w:line="360" w:lineRule="auto"/>
        <w:jc w:val="both"/>
        <w:rPr>
          <w:rFonts w:ascii="Arial" w:hAnsi="Arial" w:cs="Arial"/>
        </w:rPr>
      </w:pPr>
    </w:p>
    <w:p w:rsidR="00F8080C" w:rsidRPr="00396EDB" w:rsidRDefault="004C1289" w:rsidP="00C9478E">
      <w:pPr>
        <w:spacing w:line="360" w:lineRule="auto"/>
        <w:jc w:val="both"/>
        <w:rPr>
          <w:rFonts w:ascii="Arial" w:hAnsi="Arial" w:cs="Arial"/>
        </w:rPr>
      </w:pPr>
      <w:r>
        <w:rPr>
          <w:rFonts w:ascii="Arial" w:hAnsi="Arial" w:cs="Arial"/>
        </w:rPr>
        <w:lastRenderedPageBreak/>
        <w:t xml:space="preserve">Na podstawie tego badania stwierdzono </w:t>
      </w:r>
      <w:r w:rsidR="00E049DE">
        <w:rPr>
          <w:rFonts w:ascii="Arial" w:hAnsi="Arial" w:cs="Arial"/>
        </w:rPr>
        <w:t>zdecydowan</w:t>
      </w:r>
      <w:r>
        <w:rPr>
          <w:rFonts w:ascii="Arial" w:hAnsi="Arial" w:cs="Arial"/>
        </w:rPr>
        <w:t>ą</w:t>
      </w:r>
      <w:r w:rsidR="00E049DE">
        <w:rPr>
          <w:rFonts w:ascii="Arial" w:hAnsi="Arial" w:cs="Arial"/>
        </w:rPr>
        <w:t xml:space="preserve"> przewag</w:t>
      </w:r>
      <w:r>
        <w:rPr>
          <w:rFonts w:ascii="Arial" w:hAnsi="Arial" w:cs="Arial"/>
        </w:rPr>
        <w:t>ę</w:t>
      </w:r>
      <w:r w:rsidR="00E049DE">
        <w:rPr>
          <w:rFonts w:ascii="Arial" w:hAnsi="Arial" w:cs="Arial"/>
        </w:rPr>
        <w:t xml:space="preserve"> metody </w:t>
      </w:r>
      <w:proofErr w:type="spellStart"/>
      <w:r w:rsidR="00E049DE">
        <w:rPr>
          <w:rFonts w:ascii="Arial" w:hAnsi="Arial" w:cs="Arial"/>
        </w:rPr>
        <w:t>LC-MS</w:t>
      </w:r>
      <w:proofErr w:type="spellEnd"/>
      <w:r w:rsidR="00E049DE">
        <w:rPr>
          <w:rFonts w:ascii="Arial" w:hAnsi="Arial" w:cs="Arial"/>
        </w:rPr>
        <w:t>/MS w oznaczaniu 17OHP jako badania przesiewowego w kierunku postaci nieklasycznej WPN w porównaniu z metodami immunoenzymatycznymi. Pokazano również, iż testy i</w:t>
      </w:r>
      <w:r w:rsidR="00956979">
        <w:rPr>
          <w:rFonts w:ascii="Arial" w:hAnsi="Arial" w:cs="Arial"/>
        </w:rPr>
        <w:t>mmunoenzymatyczne różnią się mię</w:t>
      </w:r>
      <w:r w:rsidR="00E049DE">
        <w:rPr>
          <w:rFonts w:ascii="Arial" w:hAnsi="Arial" w:cs="Arial"/>
        </w:rPr>
        <w:t xml:space="preserve">dzy sobą charakterystyką </w:t>
      </w:r>
      <w:r w:rsidR="007B09DE">
        <w:rPr>
          <w:rFonts w:ascii="Arial" w:hAnsi="Arial" w:cs="Arial"/>
        </w:rPr>
        <w:t>swoistości. Są one przydatne do wykluczenia WPN ale nie są dobrym narzędziem do rozpoznania choroby</w:t>
      </w:r>
      <w:r w:rsidR="00956979">
        <w:rPr>
          <w:rFonts w:ascii="Arial" w:hAnsi="Arial" w:cs="Arial"/>
        </w:rPr>
        <w:t>, ponieważ decyzje podejmowan</w:t>
      </w:r>
      <w:r w:rsidR="007B09DE">
        <w:rPr>
          <w:rFonts w:ascii="Arial" w:hAnsi="Arial" w:cs="Arial"/>
        </w:rPr>
        <w:t xml:space="preserve">e w oparciu o te metody mogą doprowadzać do  fałszywych </w:t>
      </w:r>
      <w:r w:rsidR="0045204E">
        <w:rPr>
          <w:rFonts w:ascii="Arial" w:hAnsi="Arial" w:cs="Arial"/>
        </w:rPr>
        <w:t xml:space="preserve">rozpoznań </w:t>
      </w:r>
      <w:r w:rsidR="007B09DE">
        <w:rPr>
          <w:rFonts w:ascii="Arial" w:hAnsi="Arial" w:cs="Arial"/>
        </w:rPr>
        <w:t>choroby,</w:t>
      </w:r>
      <w:r w:rsidR="0045204E">
        <w:rPr>
          <w:rFonts w:ascii="Arial" w:hAnsi="Arial" w:cs="Arial"/>
        </w:rPr>
        <w:t xml:space="preserve"> </w:t>
      </w:r>
      <w:r w:rsidR="00480E0A">
        <w:rPr>
          <w:rFonts w:ascii="Arial" w:hAnsi="Arial" w:cs="Arial"/>
        </w:rPr>
        <w:t xml:space="preserve">niepokoju pacjenta i często niepotrzebnego wdrażania leczenia  </w:t>
      </w:r>
      <w:proofErr w:type="spellStart"/>
      <w:r w:rsidR="00480E0A">
        <w:rPr>
          <w:rFonts w:ascii="Arial" w:hAnsi="Arial" w:cs="Arial"/>
        </w:rPr>
        <w:t>glikokortykosteroidami</w:t>
      </w:r>
      <w:proofErr w:type="spellEnd"/>
      <w:r w:rsidR="00480E0A">
        <w:rPr>
          <w:rFonts w:ascii="Arial" w:hAnsi="Arial" w:cs="Arial"/>
        </w:rPr>
        <w:t xml:space="preserve">. </w:t>
      </w:r>
      <w:r w:rsidR="007B09DE">
        <w:rPr>
          <w:rFonts w:ascii="Arial" w:hAnsi="Arial" w:cs="Arial"/>
        </w:rPr>
        <w:t xml:space="preserve">   </w:t>
      </w:r>
      <w:r w:rsidR="00E049DE">
        <w:rPr>
          <w:rFonts w:ascii="Arial" w:hAnsi="Arial" w:cs="Arial"/>
        </w:rPr>
        <w:t xml:space="preserve">     </w:t>
      </w:r>
    </w:p>
    <w:p w:rsidR="00C9478E" w:rsidRPr="000104C9" w:rsidRDefault="00C9478E" w:rsidP="00C9478E">
      <w:pPr>
        <w:spacing w:line="360" w:lineRule="auto"/>
        <w:jc w:val="both"/>
        <w:rPr>
          <w:rFonts w:ascii="Arial" w:hAnsi="Arial" w:cs="Arial"/>
          <w:b/>
        </w:rPr>
      </w:pPr>
      <w:r w:rsidRPr="000104C9">
        <w:rPr>
          <w:rFonts w:ascii="Arial" w:hAnsi="Arial" w:cs="Arial"/>
          <w:b/>
        </w:rPr>
        <w:t xml:space="preserve">Publikacja </w:t>
      </w:r>
      <w:r>
        <w:rPr>
          <w:rFonts w:ascii="Arial" w:hAnsi="Arial" w:cs="Arial"/>
          <w:b/>
        </w:rPr>
        <w:t>4</w:t>
      </w:r>
      <w:r w:rsidRPr="000104C9">
        <w:rPr>
          <w:rFonts w:ascii="Arial" w:hAnsi="Arial" w:cs="Arial"/>
          <w:b/>
        </w:rPr>
        <w:t>.</w:t>
      </w:r>
    </w:p>
    <w:p w:rsidR="00C9478E" w:rsidRPr="000104C9" w:rsidRDefault="00C9478E" w:rsidP="00C9478E">
      <w:pPr>
        <w:rPr>
          <w:rFonts w:ascii="Arial" w:hAnsi="Arial" w:cs="Arial"/>
        </w:rPr>
      </w:pPr>
      <w:r w:rsidRPr="000104C9">
        <w:rPr>
          <w:rFonts w:ascii="Arial" w:hAnsi="Arial" w:cs="Arial"/>
        </w:rPr>
        <w:t xml:space="preserve">Zawadzka-Leska SK, Radziszewski M, Malec K, Stadnik A, </w:t>
      </w:r>
      <w:r w:rsidRPr="000104C9">
        <w:rPr>
          <w:rFonts w:ascii="Arial" w:hAnsi="Arial" w:cs="Arial"/>
          <w:b/>
        </w:rPr>
        <w:t xml:space="preserve">Ambroziak U </w:t>
      </w:r>
      <w:r w:rsidRPr="000104C9">
        <w:rPr>
          <w:rFonts w:ascii="Arial" w:hAnsi="Arial" w:cs="Arial"/>
        </w:rPr>
        <w:t>(autor korespondencyjny)</w:t>
      </w:r>
      <w:r w:rsidRPr="000104C9">
        <w:rPr>
          <w:rFonts w:ascii="Arial" w:hAnsi="Arial" w:cs="Arial"/>
          <w:b/>
        </w:rPr>
        <w:t>.</w:t>
      </w:r>
      <w:r w:rsidRPr="000104C9">
        <w:rPr>
          <w:rFonts w:ascii="Arial" w:hAnsi="Arial" w:cs="Arial"/>
          <w:bCs/>
          <w:color w:val="000000"/>
          <w:shd w:val="clear" w:color="auto" w:fill="FFFFFF"/>
        </w:rPr>
        <w:t xml:space="preserve"> </w:t>
      </w:r>
      <w:r w:rsidRPr="000104C9">
        <w:rPr>
          <w:rFonts w:ascii="Arial" w:hAnsi="Arial" w:cs="Arial"/>
          <w:bCs/>
          <w:color w:val="000000"/>
          <w:shd w:val="clear" w:color="auto" w:fill="FFFFFF"/>
          <w:lang w:val="en-US"/>
        </w:rPr>
        <w:t xml:space="preserve">Predictive value of </w:t>
      </w:r>
      <w:proofErr w:type="spellStart"/>
      <w:r w:rsidRPr="000104C9">
        <w:rPr>
          <w:rFonts w:ascii="Arial" w:hAnsi="Arial" w:cs="Arial"/>
          <w:bCs/>
          <w:color w:val="000000"/>
          <w:shd w:val="clear" w:color="auto" w:fill="FFFFFF"/>
          <w:lang w:val="en-US"/>
        </w:rPr>
        <w:t>chromogranin</w:t>
      </w:r>
      <w:proofErr w:type="spellEnd"/>
      <w:r w:rsidRPr="000104C9">
        <w:rPr>
          <w:rFonts w:ascii="Arial" w:hAnsi="Arial" w:cs="Arial"/>
          <w:bCs/>
          <w:color w:val="000000"/>
          <w:shd w:val="clear" w:color="auto" w:fill="FFFFFF"/>
          <w:lang w:val="en-US"/>
        </w:rPr>
        <w:t xml:space="preserve"> A in a diagnosis towards</w:t>
      </w:r>
      <w:r w:rsidR="003B197D">
        <w:rPr>
          <w:rFonts w:ascii="Arial" w:hAnsi="Arial" w:cs="Arial"/>
          <w:lang w:val="en-US"/>
        </w:rPr>
        <w:t xml:space="preserve"> </w:t>
      </w:r>
      <w:proofErr w:type="spellStart"/>
      <w:r w:rsidRPr="000104C9">
        <w:rPr>
          <w:rFonts w:ascii="Arial" w:hAnsi="Arial" w:cs="Arial"/>
          <w:bCs/>
          <w:color w:val="000000"/>
          <w:shd w:val="clear" w:color="auto" w:fill="FFFFFF"/>
          <w:lang w:val="en-US"/>
        </w:rPr>
        <w:t>pheochromocytoma</w:t>
      </w:r>
      <w:proofErr w:type="spellEnd"/>
      <w:r w:rsidRPr="000104C9">
        <w:rPr>
          <w:rFonts w:ascii="Arial" w:hAnsi="Arial" w:cs="Arial"/>
          <w:bCs/>
          <w:color w:val="000000"/>
          <w:shd w:val="clear" w:color="auto" w:fill="FFFFFF"/>
          <w:lang w:val="en-US"/>
        </w:rPr>
        <w:t xml:space="preserve"> in adrenal </w:t>
      </w:r>
      <w:proofErr w:type="spellStart"/>
      <w:r w:rsidRPr="000104C9">
        <w:rPr>
          <w:rFonts w:ascii="Arial" w:hAnsi="Arial" w:cs="Arial"/>
          <w:bCs/>
          <w:color w:val="000000"/>
          <w:shd w:val="clear" w:color="auto" w:fill="FFFFFF"/>
          <w:lang w:val="en-US"/>
        </w:rPr>
        <w:t>incidentaloma</w:t>
      </w:r>
      <w:proofErr w:type="spellEnd"/>
      <w:r w:rsidRPr="000104C9">
        <w:rPr>
          <w:rFonts w:ascii="Arial" w:hAnsi="Arial" w:cs="Arial"/>
          <w:bCs/>
          <w:color w:val="000000"/>
          <w:shd w:val="clear" w:color="auto" w:fill="FFFFFF"/>
          <w:lang w:val="en-US"/>
        </w:rPr>
        <w:t xml:space="preserve">. </w:t>
      </w:r>
      <w:r w:rsidRPr="000104C9">
        <w:rPr>
          <w:rFonts w:ascii="Arial" w:hAnsi="Arial" w:cs="Arial"/>
        </w:rPr>
        <w:t>Acta Endo (Buc) 2016 12(4): 437-442</w:t>
      </w:r>
      <w:r w:rsidR="00840755">
        <w:rPr>
          <w:rFonts w:ascii="Arial" w:hAnsi="Arial" w:cs="Arial"/>
        </w:rPr>
        <w:t>.</w:t>
      </w:r>
      <w:r w:rsidRPr="000104C9">
        <w:rPr>
          <w:rFonts w:ascii="Arial" w:hAnsi="Arial" w:cs="Arial"/>
        </w:rPr>
        <w:t xml:space="preserve"> </w:t>
      </w:r>
    </w:p>
    <w:p w:rsidR="00C9478E" w:rsidRPr="00B62E79" w:rsidRDefault="00C9478E" w:rsidP="00C9478E">
      <w:pPr>
        <w:spacing w:line="360" w:lineRule="auto"/>
        <w:ind w:firstLine="708"/>
        <w:jc w:val="both"/>
        <w:rPr>
          <w:rFonts w:ascii="Arial" w:hAnsi="Arial" w:cs="Arial"/>
          <w:bCs/>
          <w:shd w:val="clear" w:color="auto" w:fill="FFFFFF"/>
        </w:rPr>
      </w:pPr>
      <w:r w:rsidRPr="00B62E79">
        <w:rPr>
          <w:rFonts w:ascii="Arial" w:hAnsi="Arial" w:cs="Arial"/>
        </w:rPr>
        <w:t xml:space="preserve">Kolejna publikacja dotyczyła diagnostyki guzów chromochłonnych. W badaniu tym wraz ze studentami oceniano wartość diagnostyczną </w:t>
      </w:r>
      <w:proofErr w:type="spellStart"/>
      <w:r w:rsidRPr="00B62E79">
        <w:rPr>
          <w:rFonts w:ascii="Arial" w:hAnsi="Arial" w:cs="Arial"/>
        </w:rPr>
        <w:t>chromograniny</w:t>
      </w:r>
      <w:proofErr w:type="spellEnd"/>
      <w:r w:rsidRPr="00B62E79">
        <w:rPr>
          <w:rFonts w:ascii="Arial" w:hAnsi="Arial" w:cs="Arial"/>
        </w:rPr>
        <w:t xml:space="preserve"> A (</w:t>
      </w:r>
      <w:proofErr w:type="spellStart"/>
      <w:r w:rsidRPr="00B62E79">
        <w:rPr>
          <w:rFonts w:ascii="Arial" w:hAnsi="Arial" w:cs="Arial"/>
        </w:rPr>
        <w:t>CgA</w:t>
      </w:r>
      <w:proofErr w:type="spellEnd"/>
      <w:r w:rsidRPr="00B62E79">
        <w:rPr>
          <w:rFonts w:ascii="Arial" w:hAnsi="Arial" w:cs="Arial"/>
        </w:rPr>
        <w:t xml:space="preserve">) – nieswoistego markera guzów neuroendokrynnych jako pomocniczą w diagnostyce biochemicznej </w:t>
      </w:r>
      <w:proofErr w:type="spellStart"/>
      <w:r w:rsidR="004C1289">
        <w:rPr>
          <w:rFonts w:ascii="Arial" w:hAnsi="Arial" w:cs="Arial"/>
        </w:rPr>
        <w:t>pheochromocytoma</w:t>
      </w:r>
      <w:proofErr w:type="spellEnd"/>
      <w:r w:rsidRPr="00B62E79">
        <w:rPr>
          <w:rFonts w:ascii="Arial" w:hAnsi="Arial" w:cs="Arial"/>
        </w:rPr>
        <w:t xml:space="preserve">. Diagnostyka w kierunku guza chromochłonnego opiera się na obecności objawów klinicznych, </w:t>
      </w:r>
      <w:r w:rsidR="004C1289">
        <w:rPr>
          <w:rFonts w:ascii="Arial" w:hAnsi="Arial" w:cs="Arial"/>
        </w:rPr>
        <w:t>ocenie</w:t>
      </w:r>
      <w:r w:rsidRPr="00B62E79">
        <w:rPr>
          <w:rFonts w:ascii="Arial" w:hAnsi="Arial" w:cs="Arial"/>
        </w:rPr>
        <w:t xml:space="preserve"> </w:t>
      </w:r>
      <w:r w:rsidR="003B197D" w:rsidRPr="00B62E79">
        <w:rPr>
          <w:rFonts w:ascii="Arial" w:hAnsi="Arial" w:cs="Arial"/>
        </w:rPr>
        <w:t xml:space="preserve">biochemicznej </w:t>
      </w:r>
      <w:r w:rsidR="003B197D">
        <w:rPr>
          <w:rFonts w:ascii="Arial" w:hAnsi="Arial" w:cs="Arial"/>
        </w:rPr>
        <w:t>i obrazowej</w:t>
      </w:r>
      <w:r w:rsidRPr="00B62E79">
        <w:rPr>
          <w:rFonts w:ascii="Arial" w:hAnsi="Arial" w:cs="Arial"/>
        </w:rPr>
        <w:t xml:space="preserve">. Z uwagi na to, iż typowe napadowe nadciśnienie tętnicze wraz z towarzyszącą triadą objawów występuje u </w:t>
      </w:r>
      <w:r>
        <w:rPr>
          <w:rFonts w:ascii="Arial" w:hAnsi="Arial" w:cs="Arial"/>
        </w:rPr>
        <w:t>mniejszości</w:t>
      </w:r>
      <w:r w:rsidRPr="00B62E79">
        <w:rPr>
          <w:rFonts w:ascii="Arial" w:hAnsi="Arial" w:cs="Arial"/>
        </w:rPr>
        <w:t xml:space="preserve"> pacjentów i brak jest typowych cech guza chromochłonnego w badaniu tomografii</w:t>
      </w:r>
      <w:r w:rsidR="004C1289">
        <w:rPr>
          <w:rFonts w:ascii="Arial" w:hAnsi="Arial" w:cs="Arial"/>
        </w:rPr>
        <w:t xml:space="preserve"> komputerowej (TK) lub </w:t>
      </w:r>
      <w:r w:rsidRPr="00B62E79">
        <w:rPr>
          <w:rFonts w:ascii="Arial" w:hAnsi="Arial" w:cs="Arial"/>
        </w:rPr>
        <w:t>rezonans</w:t>
      </w:r>
      <w:r w:rsidR="004C1289">
        <w:rPr>
          <w:rFonts w:ascii="Arial" w:hAnsi="Arial" w:cs="Arial"/>
        </w:rPr>
        <w:t>ie</w:t>
      </w:r>
      <w:r w:rsidRPr="00B62E79">
        <w:rPr>
          <w:rFonts w:ascii="Arial" w:hAnsi="Arial" w:cs="Arial"/>
        </w:rPr>
        <w:t xml:space="preserve"> magnetyczn</w:t>
      </w:r>
      <w:r w:rsidR="004C1289">
        <w:rPr>
          <w:rFonts w:ascii="Arial" w:hAnsi="Arial" w:cs="Arial"/>
        </w:rPr>
        <w:t>ym,</w:t>
      </w:r>
      <w:r w:rsidRPr="00B62E79">
        <w:rPr>
          <w:rFonts w:ascii="Arial" w:hAnsi="Arial" w:cs="Arial"/>
        </w:rPr>
        <w:t xml:space="preserve"> stąd poszukiwania testów biochemicznych o najwyższej czułości i swoistości. Obecnie w diagnostyce </w:t>
      </w:r>
      <w:proofErr w:type="spellStart"/>
      <w:r w:rsidRPr="00B62E79">
        <w:rPr>
          <w:rFonts w:ascii="Arial" w:hAnsi="Arial" w:cs="Arial"/>
        </w:rPr>
        <w:t>pheochromocytoma</w:t>
      </w:r>
      <w:proofErr w:type="spellEnd"/>
      <w:r w:rsidRPr="00B62E79">
        <w:rPr>
          <w:rFonts w:ascii="Arial" w:hAnsi="Arial" w:cs="Arial"/>
        </w:rPr>
        <w:t xml:space="preserve"> zaleca się ocenę </w:t>
      </w:r>
      <w:r w:rsidR="005D392F">
        <w:rPr>
          <w:rFonts w:ascii="Arial" w:hAnsi="Arial" w:cs="Arial"/>
        </w:rPr>
        <w:t>stężeń</w:t>
      </w:r>
      <w:r w:rsidR="00956979">
        <w:rPr>
          <w:rFonts w:ascii="Arial" w:hAnsi="Arial" w:cs="Arial"/>
        </w:rPr>
        <w:t xml:space="preserve"> </w:t>
      </w:r>
      <w:r w:rsidRPr="00B62E79">
        <w:rPr>
          <w:rFonts w:ascii="Arial" w:hAnsi="Arial" w:cs="Arial"/>
        </w:rPr>
        <w:t xml:space="preserve">wolnych </w:t>
      </w:r>
      <w:proofErr w:type="spellStart"/>
      <w:r w:rsidRPr="00B62E79">
        <w:rPr>
          <w:rFonts w:ascii="Arial" w:hAnsi="Arial" w:cs="Arial"/>
        </w:rPr>
        <w:t>metoksykatecholamin</w:t>
      </w:r>
      <w:proofErr w:type="spellEnd"/>
      <w:r w:rsidRPr="00B62E79">
        <w:rPr>
          <w:rFonts w:ascii="Arial" w:hAnsi="Arial" w:cs="Arial"/>
        </w:rPr>
        <w:t xml:space="preserve"> w osoczu lub frakcjonowanych </w:t>
      </w:r>
      <w:proofErr w:type="spellStart"/>
      <w:r w:rsidRPr="00B62E79">
        <w:rPr>
          <w:rFonts w:ascii="Arial" w:hAnsi="Arial" w:cs="Arial"/>
        </w:rPr>
        <w:t>metoksykatecholamin</w:t>
      </w:r>
      <w:proofErr w:type="spellEnd"/>
      <w:r w:rsidRPr="00B62E79">
        <w:rPr>
          <w:rFonts w:ascii="Arial" w:hAnsi="Arial" w:cs="Arial"/>
        </w:rPr>
        <w:t xml:space="preserve"> w moczu. Rekomendowaną metodą jest </w:t>
      </w:r>
      <w:proofErr w:type="spellStart"/>
      <w:r w:rsidRPr="00B62E79">
        <w:rPr>
          <w:rFonts w:ascii="Arial" w:hAnsi="Arial" w:cs="Arial"/>
        </w:rPr>
        <w:t>LC-MS</w:t>
      </w:r>
      <w:proofErr w:type="spellEnd"/>
      <w:r w:rsidRPr="00B62E79">
        <w:rPr>
          <w:rFonts w:ascii="Arial" w:hAnsi="Arial" w:cs="Arial"/>
        </w:rPr>
        <w:t>/MS (</w:t>
      </w:r>
      <w:proofErr w:type="spellStart"/>
      <w:r w:rsidRPr="00B62E79">
        <w:rPr>
          <w:rFonts w:ascii="Arial" w:hAnsi="Arial" w:cs="Arial"/>
          <w:i/>
        </w:rPr>
        <w:t>Endocrine</w:t>
      </w:r>
      <w:proofErr w:type="spellEnd"/>
      <w:r w:rsidRPr="00B62E79">
        <w:rPr>
          <w:rFonts w:ascii="Arial" w:hAnsi="Arial" w:cs="Arial"/>
          <w:i/>
        </w:rPr>
        <w:t xml:space="preserve"> </w:t>
      </w:r>
      <w:proofErr w:type="spellStart"/>
      <w:r w:rsidRPr="00B62E79">
        <w:rPr>
          <w:rFonts w:ascii="Arial" w:hAnsi="Arial" w:cs="Arial"/>
          <w:i/>
        </w:rPr>
        <w:t>Society</w:t>
      </w:r>
      <w:proofErr w:type="spellEnd"/>
      <w:r w:rsidRPr="00B62E79">
        <w:rPr>
          <w:rFonts w:ascii="Arial" w:hAnsi="Arial" w:cs="Arial"/>
          <w:i/>
        </w:rPr>
        <w:t xml:space="preserve"> </w:t>
      </w:r>
      <w:proofErr w:type="spellStart"/>
      <w:r w:rsidRPr="00B62E79">
        <w:rPr>
          <w:rFonts w:ascii="Arial" w:hAnsi="Arial" w:cs="Arial"/>
          <w:i/>
        </w:rPr>
        <w:t>guidelines</w:t>
      </w:r>
      <w:proofErr w:type="spellEnd"/>
      <w:r w:rsidRPr="00B62E79">
        <w:rPr>
          <w:rFonts w:ascii="Arial" w:hAnsi="Arial" w:cs="Arial"/>
          <w:i/>
        </w:rPr>
        <w:t xml:space="preserve"> 2014</w:t>
      </w:r>
      <w:r w:rsidRPr="00B62E79">
        <w:rPr>
          <w:rFonts w:ascii="Arial" w:hAnsi="Arial" w:cs="Arial"/>
        </w:rPr>
        <w:t>). W Polsce metoda ta nie</w:t>
      </w:r>
      <w:r>
        <w:rPr>
          <w:rFonts w:ascii="Arial" w:hAnsi="Arial" w:cs="Arial"/>
        </w:rPr>
        <w:t xml:space="preserve"> była i nadal nie</w:t>
      </w:r>
      <w:r w:rsidRPr="00B62E79">
        <w:rPr>
          <w:rFonts w:ascii="Arial" w:hAnsi="Arial" w:cs="Arial"/>
        </w:rPr>
        <w:t xml:space="preserve"> jest jeszcze </w:t>
      </w:r>
      <w:r>
        <w:rPr>
          <w:rFonts w:ascii="Arial" w:hAnsi="Arial" w:cs="Arial"/>
        </w:rPr>
        <w:t xml:space="preserve"> </w:t>
      </w:r>
      <w:r w:rsidRPr="00B62E79">
        <w:rPr>
          <w:rFonts w:ascii="Arial" w:hAnsi="Arial" w:cs="Arial"/>
        </w:rPr>
        <w:t xml:space="preserve">dostępna. Do niedawna jedyną możliwą metodą była spektrofotometryczna ocena całkowitych </w:t>
      </w:r>
      <w:proofErr w:type="spellStart"/>
      <w:r w:rsidRPr="00B62E79">
        <w:rPr>
          <w:rFonts w:ascii="Arial" w:hAnsi="Arial" w:cs="Arial"/>
        </w:rPr>
        <w:t>metoksykatecholamin</w:t>
      </w:r>
      <w:proofErr w:type="spellEnd"/>
      <w:r w:rsidRPr="00B62E79">
        <w:rPr>
          <w:rFonts w:ascii="Arial" w:hAnsi="Arial" w:cs="Arial"/>
        </w:rPr>
        <w:t xml:space="preserve">, charakteryzująca </w:t>
      </w:r>
      <w:r w:rsidR="00D544C2">
        <w:rPr>
          <w:rFonts w:ascii="Arial" w:hAnsi="Arial" w:cs="Arial"/>
        </w:rPr>
        <w:t xml:space="preserve">się czułością na poziomie 60 %. </w:t>
      </w:r>
      <w:r w:rsidRPr="00B62E79">
        <w:rPr>
          <w:rFonts w:ascii="Arial" w:hAnsi="Arial" w:cs="Arial"/>
        </w:rPr>
        <w:t>Stąd ponownie pojawiła się kliniczna potrzeba poprawy diagnostyki biochemicznej guza chromochłonnego i pomysł omawianego badania.</w:t>
      </w:r>
      <w:r>
        <w:rPr>
          <w:rFonts w:ascii="Arial" w:hAnsi="Arial" w:cs="Arial"/>
        </w:rPr>
        <w:t xml:space="preserve"> Analizie poddanych było 30</w:t>
      </w:r>
      <w:r w:rsidRPr="00B62E79">
        <w:rPr>
          <w:rFonts w:ascii="Arial" w:hAnsi="Arial" w:cs="Arial"/>
        </w:rPr>
        <w:t xml:space="preserve"> chory</w:t>
      </w:r>
      <w:r>
        <w:rPr>
          <w:rFonts w:ascii="Arial" w:hAnsi="Arial" w:cs="Arial"/>
        </w:rPr>
        <w:t>ch</w:t>
      </w:r>
      <w:r w:rsidRPr="00B62E79">
        <w:rPr>
          <w:rFonts w:ascii="Arial" w:hAnsi="Arial" w:cs="Arial"/>
        </w:rPr>
        <w:t xml:space="preserve"> po operac</w:t>
      </w:r>
      <w:r w:rsidR="006926F8">
        <w:rPr>
          <w:rFonts w:ascii="Arial" w:hAnsi="Arial" w:cs="Arial"/>
        </w:rPr>
        <w:t>ji guzów nadnerczy o gęstości &gt;</w:t>
      </w:r>
      <w:r w:rsidRPr="00B62E79">
        <w:rPr>
          <w:rFonts w:ascii="Arial" w:hAnsi="Arial" w:cs="Arial"/>
        </w:rPr>
        <w:t xml:space="preserve">10 j. </w:t>
      </w:r>
      <w:proofErr w:type="spellStart"/>
      <w:r w:rsidRPr="00B62E79">
        <w:rPr>
          <w:rFonts w:ascii="Arial" w:hAnsi="Arial" w:cs="Arial"/>
        </w:rPr>
        <w:t>Hounsfielda</w:t>
      </w:r>
      <w:proofErr w:type="spellEnd"/>
      <w:r w:rsidRPr="00B62E79">
        <w:rPr>
          <w:rFonts w:ascii="Arial" w:hAnsi="Arial" w:cs="Arial"/>
        </w:rPr>
        <w:t xml:space="preserve"> (</w:t>
      </w:r>
      <w:proofErr w:type="spellStart"/>
      <w:r w:rsidRPr="00B62E79">
        <w:rPr>
          <w:rFonts w:ascii="Arial" w:hAnsi="Arial" w:cs="Arial"/>
        </w:rPr>
        <w:t>j.H</w:t>
      </w:r>
      <w:proofErr w:type="spellEnd"/>
      <w:r w:rsidR="00D544C2">
        <w:rPr>
          <w:rFonts w:ascii="Arial" w:hAnsi="Arial" w:cs="Arial"/>
        </w:rPr>
        <w:t>) w badaniu TK</w:t>
      </w:r>
      <w:r w:rsidR="0058196E">
        <w:rPr>
          <w:rFonts w:ascii="Arial" w:hAnsi="Arial" w:cs="Arial"/>
        </w:rPr>
        <w:t>,</w:t>
      </w:r>
      <w:r w:rsidR="00D544C2">
        <w:rPr>
          <w:rFonts w:ascii="Arial" w:hAnsi="Arial" w:cs="Arial"/>
        </w:rPr>
        <w:t xml:space="preserve"> </w:t>
      </w:r>
      <w:r w:rsidR="005D392F">
        <w:rPr>
          <w:rFonts w:ascii="Arial" w:hAnsi="Arial" w:cs="Arial"/>
        </w:rPr>
        <w:t>retrospektywn</w:t>
      </w:r>
      <w:r w:rsidR="00D544C2">
        <w:rPr>
          <w:rFonts w:ascii="Arial" w:hAnsi="Arial" w:cs="Arial"/>
        </w:rPr>
        <w:t>ie</w:t>
      </w:r>
      <w:r w:rsidR="0058196E">
        <w:rPr>
          <w:rFonts w:ascii="Arial" w:hAnsi="Arial" w:cs="Arial"/>
        </w:rPr>
        <w:t xml:space="preserve"> ocenionych pod kątem</w:t>
      </w:r>
      <w:r w:rsidRPr="00B62E79">
        <w:rPr>
          <w:rFonts w:ascii="Arial" w:hAnsi="Arial" w:cs="Arial"/>
        </w:rPr>
        <w:t xml:space="preserve"> </w:t>
      </w:r>
      <w:r w:rsidR="005D392F" w:rsidRPr="00B62E79">
        <w:rPr>
          <w:rFonts w:ascii="Arial" w:hAnsi="Arial" w:cs="Arial"/>
        </w:rPr>
        <w:t xml:space="preserve">wartości predykcyjnej </w:t>
      </w:r>
      <w:proofErr w:type="spellStart"/>
      <w:r w:rsidR="005D392F" w:rsidRPr="00B62E79">
        <w:rPr>
          <w:rFonts w:ascii="Arial" w:hAnsi="Arial" w:cs="Arial"/>
        </w:rPr>
        <w:t>chromograniny</w:t>
      </w:r>
      <w:proofErr w:type="spellEnd"/>
      <w:r w:rsidR="005D392F" w:rsidRPr="00B62E79">
        <w:rPr>
          <w:rFonts w:ascii="Arial" w:hAnsi="Arial" w:cs="Arial"/>
        </w:rPr>
        <w:t xml:space="preserve"> A </w:t>
      </w:r>
      <w:r w:rsidR="0058196E">
        <w:rPr>
          <w:rFonts w:ascii="Arial" w:hAnsi="Arial" w:cs="Arial"/>
        </w:rPr>
        <w:t xml:space="preserve">dla </w:t>
      </w:r>
      <w:r w:rsidRPr="00B62E79">
        <w:rPr>
          <w:rFonts w:ascii="Arial" w:hAnsi="Arial" w:cs="Arial"/>
        </w:rPr>
        <w:t xml:space="preserve">rozpoznania </w:t>
      </w:r>
      <w:proofErr w:type="spellStart"/>
      <w:r w:rsidRPr="00B62E79">
        <w:rPr>
          <w:rFonts w:ascii="Arial" w:hAnsi="Arial" w:cs="Arial"/>
        </w:rPr>
        <w:t>pheochromocytoma</w:t>
      </w:r>
      <w:proofErr w:type="spellEnd"/>
      <w:r w:rsidRPr="00B62E79">
        <w:rPr>
          <w:rFonts w:ascii="Arial" w:hAnsi="Arial" w:cs="Arial"/>
        </w:rPr>
        <w:t>. Dwie badane grupy z rozpoznaniem guza chromochłonnego</w:t>
      </w:r>
      <w:r>
        <w:rPr>
          <w:rFonts w:ascii="Arial" w:hAnsi="Arial" w:cs="Arial"/>
        </w:rPr>
        <w:t xml:space="preserve"> (n=16)</w:t>
      </w:r>
      <w:r w:rsidRPr="00B62E79">
        <w:rPr>
          <w:rFonts w:ascii="Arial" w:hAnsi="Arial" w:cs="Arial"/>
        </w:rPr>
        <w:t xml:space="preserve"> i innych rozpoznań histopatologicznych </w:t>
      </w:r>
      <w:r>
        <w:rPr>
          <w:rFonts w:ascii="Arial" w:hAnsi="Arial" w:cs="Arial"/>
        </w:rPr>
        <w:t xml:space="preserve">(n=14) </w:t>
      </w:r>
      <w:r w:rsidRPr="00B62E79">
        <w:rPr>
          <w:rFonts w:ascii="Arial" w:hAnsi="Arial" w:cs="Arial"/>
        </w:rPr>
        <w:t xml:space="preserve">nie różniły się stężeniami </w:t>
      </w:r>
      <w:proofErr w:type="spellStart"/>
      <w:r w:rsidRPr="00B62E79">
        <w:rPr>
          <w:rFonts w:ascii="Arial" w:hAnsi="Arial" w:cs="Arial"/>
        </w:rPr>
        <w:t>metoksykatecholamin</w:t>
      </w:r>
      <w:proofErr w:type="spellEnd"/>
      <w:r w:rsidRPr="00B62E79">
        <w:rPr>
          <w:rFonts w:ascii="Arial" w:hAnsi="Arial" w:cs="Arial"/>
        </w:rPr>
        <w:t xml:space="preserve"> w moczu. Stwierdzono natomiast istotną różnicę pomiędzy stężeniami </w:t>
      </w:r>
      <w:proofErr w:type="spellStart"/>
      <w:r w:rsidRPr="00B62E79">
        <w:rPr>
          <w:rFonts w:ascii="Arial" w:hAnsi="Arial" w:cs="Arial"/>
        </w:rPr>
        <w:t>CgA</w:t>
      </w:r>
      <w:proofErr w:type="spellEnd"/>
      <w:r w:rsidRPr="00B62E79">
        <w:rPr>
          <w:rFonts w:ascii="Arial" w:hAnsi="Arial" w:cs="Arial"/>
        </w:rPr>
        <w:t xml:space="preserve"> w grupie </w:t>
      </w:r>
      <w:proofErr w:type="spellStart"/>
      <w:r w:rsidRPr="00B62E79">
        <w:rPr>
          <w:rFonts w:ascii="Arial" w:hAnsi="Arial" w:cs="Arial"/>
        </w:rPr>
        <w:t>pheochromocytoma</w:t>
      </w:r>
      <w:proofErr w:type="spellEnd"/>
      <w:r w:rsidRPr="00B62E79">
        <w:rPr>
          <w:rFonts w:ascii="Arial" w:hAnsi="Arial" w:cs="Arial"/>
          <w:shd w:val="clear" w:color="auto" w:fill="FFFFFF"/>
        </w:rPr>
        <w:t xml:space="preserve"> 99.35 (68.12-172.73) </w:t>
      </w:r>
      <w:proofErr w:type="spellStart"/>
      <w:r w:rsidRPr="00B62E79">
        <w:rPr>
          <w:rFonts w:ascii="Arial" w:hAnsi="Arial" w:cs="Arial"/>
          <w:shd w:val="clear" w:color="auto" w:fill="FFFFFF"/>
        </w:rPr>
        <w:t>vs</w:t>
      </w:r>
      <w:proofErr w:type="spellEnd"/>
      <w:r w:rsidRPr="00B62E79">
        <w:rPr>
          <w:rFonts w:ascii="Arial" w:hAnsi="Arial" w:cs="Arial"/>
          <w:shd w:val="clear" w:color="auto" w:fill="FFFFFF"/>
        </w:rPr>
        <w:t xml:space="preserve">. 52.92 (34.37-101.26) </w:t>
      </w:r>
      <w:proofErr w:type="spellStart"/>
      <w:r w:rsidRPr="00B62E79">
        <w:rPr>
          <w:rFonts w:ascii="Arial" w:hAnsi="Arial" w:cs="Arial"/>
          <w:shd w:val="clear" w:color="auto" w:fill="FFFFFF"/>
        </w:rPr>
        <w:t>ng</w:t>
      </w:r>
      <w:proofErr w:type="spellEnd"/>
      <w:r w:rsidRPr="00B62E79">
        <w:rPr>
          <w:rFonts w:ascii="Arial" w:hAnsi="Arial" w:cs="Arial"/>
          <w:shd w:val="clear" w:color="auto" w:fill="FFFFFF"/>
        </w:rPr>
        <w:t>/ml w grupie innych rozpoznań, (p=0.04). Na podstawi</w:t>
      </w:r>
      <w:r w:rsidR="005D392F">
        <w:rPr>
          <w:rFonts w:ascii="Arial" w:hAnsi="Arial" w:cs="Arial"/>
          <w:shd w:val="clear" w:color="auto" w:fill="FFFFFF"/>
        </w:rPr>
        <w:t xml:space="preserve">e analizy krzywej ROC stężeń </w:t>
      </w:r>
      <w:proofErr w:type="spellStart"/>
      <w:r w:rsidR="005D392F">
        <w:rPr>
          <w:rFonts w:ascii="Arial" w:hAnsi="Arial" w:cs="Arial"/>
          <w:shd w:val="clear" w:color="auto" w:fill="FFFFFF"/>
        </w:rPr>
        <w:t>Cg</w:t>
      </w:r>
      <w:r w:rsidRPr="00B62E79">
        <w:rPr>
          <w:rFonts w:ascii="Arial" w:hAnsi="Arial" w:cs="Arial"/>
          <w:shd w:val="clear" w:color="auto" w:fill="FFFFFF"/>
        </w:rPr>
        <w:t>A</w:t>
      </w:r>
      <w:proofErr w:type="spellEnd"/>
      <w:r w:rsidRPr="00B62E79">
        <w:rPr>
          <w:rFonts w:ascii="Arial" w:hAnsi="Arial" w:cs="Arial"/>
          <w:shd w:val="clear" w:color="auto" w:fill="FFFFFF"/>
        </w:rPr>
        <w:t xml:space="preserve"> wyciągnięto wniosek, </w:t>
      </w:r>
      <w:r w:rsidR="006926F8">
        <w:rPr>
          <w:rFonts w:ascii="Arial" w:hAnsi="Arial" w:cs="Arial"/>
          <w:shd w:val="clear" w:color="auto" w:fill="FFFFFF"/>
        </w:rPr>
        <w:t xml:space="preserve"> iż stężenie Cg A na poziomie &lt;</w:t>
      </w:r>
      <w:r w:rsidRPr="00B62E79">
        <w:rPr>
          <w:rFonts w:ascii="Arial" w:hAnsi="Arial" w:cs="Arial"/>
          <w:shd w:val="clear" w:color="auto" w:fill="FFFFFF"/>
        </w:rPr>
        <w:t xml:space="preserve">50 </w:t>
      </w:r>
      <w:proofErr w:type="spellStart"/>
      <w:r w:rsidRPr="00B62E79">
        <w:rPr>
          <w:rFonts w:ascii="Arial" w:hAnsi="Arial" w:cs="Arial"/>
          <w:shd w:val="clear" w:color="auto" w:fill="FFFFFF"/>
        </w:rPr>
        <w:t>ng</w:t>
      </w:r>
      <w:proofErr w:type="spellEnd"/>
      <w:r w:rsidRPr="00B62E79">
        <w:rPr>
          <w:rFonts w:ascii="Arial" w:hAnsi="Arial" w:cs="Arial"/>
          <w:shd w:val="clear" w:color="auto" w:fill="FFFFFF"/>
        </w:rPr>
        <w:t xml:space="preserve">/ml (czułość 94%, swoistość </w:t>
      </w:r>
      <w:r w:rsidRPr="00B62E79">
        <w:rPr>
          <w:rFonts w:ascii="Arial" w:hAnsi="Arial" w:cs="Arial"/>
          <w:shd w:val="clear" w:color="auto" w:fill="FFFFFF"/>
        </w:rPr>
        <w:lastRenderedPageBreak/>
        <w:t>50%) pozwala z dużym prawdopodobieństwem wykluczyć guz chromochłonny u pacjentów</w:t>
      </w:r>
      <w:r w:rsidR="006926F8">
        <w:rPr>
          <w:rFonts w:ascii="Arial" w:hAnsi="Arial" w:cs="Arial"/>
          <w:shd w:val="clear" w:color="auto" w:fill="FFFFFF"/>
        </w:rPr>
        <w:t xml:space="preserve"> z guzem nadnercza o gęstości &gt;</w:t>
      </w:r>
      <w:r w:rsidRPr="00B62E79">
        <w:rPr>
          <w:rFonts w:ascii="Arial" w:hAnsi="Arial" w:cs="Arial"/>
          <w:shd w:val="clear" w:color="auto" w:fill="FFFFFF"/>
        </w:rPr>
        <w:t xml:space="preserve">10 </w:t>
      </w:r>
      <w:proofErr w:type="spellStart"/>
      <w:r w:rsidRPr="00B62E79">
        <w:rPr>
          <w:rFonts w:ascii="Arial" w:hAnsi="Arial" w:cs="Arial"/>
          <w:shd w:val="clear" w:color="auto" w:fill="FFFFFF"/>
        </w:rPr>
        <w:t>j.H</w:t>
      </w:r>
      <w:proofErr w:type="spellEnd"/>
      <w:r w:rsidRPr="00B62E79">
        <w:rPr>
          <w:rFonts w:ascii="Arial" w:hAnsi="Arial" w:cs="Arial"/>
          <w:shd w:val="clear" w:color="auto" w:fill="FFFFFF"/>
        </w:rPr>
        <w:t xml:space="preserve">. Stężenie </w:t>
      </w:r>
      <w:r w:rsidR="00B66EB0">
        <w:rPr>
          <w:rFonts w:ascii="Arial" w:hAnsi="Arial" w:cs="Arial"/>
          <w:shd w:val="clear" w:color="auto" w:fill="FFFFFF"/>
        </w:rPr>
        <w:t xml:space="preserve">całkowitych </w:t>
      </w:r>
      <w:proofErr w:type="spellStart"/>
      <w:r w:rsidR="00956979">
        <w:rPr>
          <w:rFonts w:ascii="Arial" w:hAnsi="Arial" w:cs="Arial"/>
          <w:shd w:val="clear" w:color="auto" w:fill="FFFFFF"/>
        </w:rPr>
        <w:t>metoksykatechol</w:t>
      </w:r>
      <w:r w:rsidR="006926F8">
        <w:rPr>
          <w:rFonts w:ascii="Arial" w:hAnsi="Arial" w:cs="Arial"/>
          <w:shd w:val="clear" w:color="auto" w:fill="FFFFFF"/>
        </w:rPr>
        <w:t>amin</w:t>
      </w:r>
      <w:proofErr w:type="spellEnd"/>
      <w:r w:rsidR="006926F8">
        <w:rPr>
          <w:rFonts w:ascii="Arial" w:hAnsi="Arial" w:cs="Arial"/>
          <w:shd w:val="clear" w:color="auto" w:fill="FFFFFF"/>
        </w:rPr>
        <w:t xml:space="preserve"> &lt;</w:t>
      </w:r>
      <w:r w:rsidRPr="00B62E79">
        <w:rPr>
          <w:rFonts w:ascii="Arial" w:hAnsi="Arial" w:cs="Arial"/>
          <w:shd w:val="clear" w:color="auto" w:fill="FFFFFF"/>
        </w:rPr>
        <w:t>700 µg/24 h dodatkowo przemawia</w:t>
      </w:r>
      <w:r w:rsidR="00F8080C">
        <w:rPr>
          <w:rFonts w:ascii="Arial" w:hAnsi="Arial" w:cs="Arial"/>
          <w:shd w:val="clear" w:color="auto" w:fill="FFFFFF"/>
        </w:rPr>
        <w:t>ło</w:t>
      </w:r>
      <w:r w:rsidRPr="00B62E79">
        <w:rPr>
          <w:rFonts w:ascii="Arial" w:hAnsi="Arial" w:cs="Arial"/>
          <w:shd w:val="clear" w:color="auto" w:fill="FFFFFF"/>
        </w:rPr>
        <w:t xml:space="preserve"> przeciwko rozpoznaniu guza chromochłonnego.      </w:t>
      </w:r>
      <w:r w:rsidRPr="00B62E79">
        <w:rPr>
          <w:rFonts w:ascii="Arial" w:hAnsi="Arial" w:cs="Arial"/>
        </w:rPr>
        <w:t xml:space="preserve">               </w:t>
      </w:r>
    </w:p>
    <w:p w:rsidR="00C9478E" w:rsidRPr="003E369D" w:rsidRDefault="00C9478E" w:rsidP="007206DE">
      <w:pPr>
        <w:spacing w:line="360" w:lineRule="auto"/>
        <w:jc w:val="both"/>
        <w:rPr>
          <w:rFonts w:ascii="Arial" w:hAnsi="Arial" w:cs="Arial"/>
          <w:b/>
          <w:lang w:val="en-US"/>
        </w:rPr>
      </w:pPr>
      <w:proofErr w:type="spellStart"/>
      <w:r w:rsidRPr="003E369D">
        <w:rPr>
          <w:rFonts w:ascii="Arial" w:hAnsi="Arial" w:cs="Arial"/>
          <w:b/>
          <w:lang w:val="en-US"/>
        </w:rPr>
        <w:t>Publikacja</w:t>
      </w:r>
      <w:proofErr w:type="spellEnd"/>
      <w:r w:rsidRPr="003E369D">
        <w:rPr>
          <w:rFonts w:ascii="Arial" w:hAnsi="Arial" w:cs="Arial"/>
          <w:b/>
          <w:lang w:val="en-US"/>
        </w:rPr>
        <w:t xml:space="preserve"> 5.</w:t>
      </w:r>
    </w:p>
    <w:p w:rsidR="00491144" w:rsidRPr="00396EDB" w:rsidRDefault="00202CBD" w:rsidP="00396EDB">
      <w:pPr>
        <w:rPr>
          <w:rFonts w:ascii="Arial" w:hAnsi="Arial" w:cs="Arial"/>
          <w:b/>
          <w:bCs/>
          <w:shd w:val="clear" w:color="auto" w:fill="FFFFFF"/>
        </w:rPr>
      </w:pPr>
      <w:proofErr w:type="spellStart"/>
      <w:r w:rsidRPr="00202CBD">
        <w:rPr>
          <w:rFonts w:ascii="Arial" w:hAnsi="Arial" w:cs="Arial"/>
          <w:b/>
          <w:bCs/>
          <w:shd w:val="clear" w:color="auto" w:fill="FFFFFF"/>
          <w:lang w:val="en-US"/>
        </w:rPr>
        <w:t>Ambroziak</w:t>
      </w:r>
      <w:proofErr w:type="spellEnd"/>
      <w:r w:rsidRPr="00202CBD">
        <w:rPr>
          <w:rFonts w:ascii="Arial" w:hAnsi="Arial" w:cs="Arial"/>
          <w:b/>
          <w:bCs/>
          <w:shd w:val="clear" w:color="auto" w:fill="FFFFFF"/>
          <w:lang w:val="en-US"/>
        </w:rPr>
        <w:t xml:space="preserve"> U, </w:t>
      </w:r>
      <w:proofErr w:type="spellStart"/>
      <w:r w:rsidRPr="00202CBD">
        <w:rPr>
          <w:rFonts w:ascii="Arial" w:hAnsi="Arial" w:cs="Arial"/>
          <w:lang w:val="en-US"/>
        </w:rPr>
        <w:t>Kuryłowicz</w:t>
      </w:r>
      <w:proofErr w:type="spellEnd"/>
      <w:r w:rsidRPr="00202CBD">
        <w:rPr>
          <w:rFonts w:ascii="Arial" w:hAnsi="Arial" w:cs="Arial"/>
          <w:lang w:val="en-US"/>
        </w:rPr>
        <w:t xml:space="preserve"> A, </w:t>
      </w:r>
      <w:proofErr w:type="spellStart"/>
      <w:r w:rsidRPr="00202CBD">
        <w:rPr>
          <w:rFonts w:ascii="Arial" w:hAnsi="Arial" w:cs="Arial"/>
          <w:lang w:val="en-US"/>
        </w:rPr>
        <w:t>Kępczyńska-Nyk</w:t>
      </w:r>
      <w:proofErr w:type="spellEnd"/>
      <w:r w:rsidRPr="00202CBD">
        <w:rPr>
          <w:rFonts w:ascii="Arial" w:hAnsi="Arial" w:cs="Arial"/>
          <w:lang w:val="en-US"/>
        </w:rPr>
        <w:t xml:space="preserve"> A, </w:t>
      </w:r>
      <w:proofErr w:type="spellStart"/>
      <w:r w:rsidRPr="00202CBD">
        <w:rPr>
          <w:rFonts w:ascii="Arial" w:hAnsi="Arial" w:cs="Arial"/>
          <w:lang w:val="en-US"/>
        </w:rPr>
        <w:t>Kondracka</w:t>
      </w:r>
      <w:proofErr w:type="spellEnd"/>
      <w:r w:rsidRPr="00202CBD">
        <w:rPr>
          <w:rFonts w:ascii="Arial" w:hAnsi="Arial" w:cs="Arial"/>
          <w:lang w:val="en-US"/>
        </w:rPr>
        <w:t xml:space="preserve"> A, </w:t>
      </w:r>
      <w:proofErr w:type="spellStart"/>
      <w:r w:rsidRPr="00202CBD">
        <w:rPr>
          <w:rFonts w:ascii="Arial" w:hAnsi="Arial" w:cs="Arial"/>
          <w:lang w:val="en-US"/>
        </w:rPr>
        <w:t>Gajda</w:t>
      </w:r>
      <w:proofErr w:type="spellEnd"/>
      <w:r w:rsidRPr="00202CBD">
        <w:rPr>
          <w:rFonts w:ascii="Arial" w:hAnsi="Arial" w:cs="Arial"/>
          <w:lang w:val="en-US"/>
        </w:rPr>
        <w:t xml:space="preserve"> S, </w:t>
      </w:r>
      <w:proofErr w:type="spellStart"/>
      <w:r w:rsidRPr="00202CBD">
        <w:rPr>
          <w:rFonts w:ascii="Arial" w:hAnsi="Arial" w:cs="Arial"/>
          <w:lang w:val="en-US"/>
        </w:rPr>
        <w:t>Sieńko</w:t>
      </w:r>
      <w:proofErr w:type="spellEnd"/>
      <w:r w:rsidRPr="00202CBD">
        <w:rPr>
          <w:rFonts w:ascii="Arial" w:hAnsi="Arial" w:cs="Arial"/>
          <w:lang w:val="en-US"/>
        </w:rPr>
        <w:t xml:space="preserve"> D. Salivary testosterone may not serve as a screening test </w:t>
      </w:r>
      <w:r w:rsidR="005D6A9F">
        <w:rPr>
          <w:rFonts w:ascii="Arial" w:hAnsi="Arial" w:cs="Arial"/>
          <w:lang w:val="en-US"/>
        </w:rPr>
        <w:t xml:space="preserve">in the diagnosis of biochemical </w:t>
      </w:r>
      <w:proofErr w:type="spellStart"/>
      <w:r w:rsidRPr="00202CBD">
        <w:rPr>
          <w:rFonts w:ascii="Arial" w:hAnsi="Arial" w:cs="Arial"/>
          <w:lang w:val="en-US"/>
        </w:rPr>
        <w:t>hyperandrogenism</w:t>
      </w:r>
      <w:proofErr w:type="spellEnd"/>
      <w:r w:rsidRPr="00202CBD">
        <w:rPr>
          <w:rFonts w:ascii="Arial" w:hAnsi="Arial" w:cs="Arial"/>
          <w:lang w:val="en-US"/>
        </w:rPr>
        <w:t xml:space="preserve">. </w:t>
      </w:r>
      <w:r w:rsidRPr="00202CBD">
        <w:rPr>
          <w:rFonts w:ascii="Arial" w:hAnsi="Arial" w:cs="Arial"/>
        </w:rPr>
        <w:t xml:space="preserve">J </w:t>
      </w:r>
      <w:proofErr w:type="spellStart"/>
      <w:r w:rsidRPr="00202CBD">
        <w:rPr>
          <w:rFonts w:ascii="Arial" w:hAnsi="Arial" w:cs="Arial"/>
        </w:rPr>
        <w:t>Obstet</w:t>
      </w:r>
      <w:proofErr w:type="spellEnd"/>
      <w:r w:rsidRPr="00202CBD">
        <w:rPr>
          <w:rFonts w:ascii="Arial" w:hAnsi="Arial" w:cs="Arial"/>
        </w:rPr>
        <w:t xml:space="preserve"> </w:t>
      </w:r>
      <w:proofErr w:type="spellStart"/>
      <w:r w:rsidRPr="00202CBD">
        <w:rPr>
          <w:rFonts w:ascii="Arial" w:hAnsi="Arial" w:cs="Arial"/>
        </w:rPr>
        <w:t>Gynecol</w:t>
      </w:r>
      <w:proofErr w:type="spellEnd"/>
      <w:r w:rsidRPr="00202CBD">
        <w:rPr>
          <w:rFonts w:ascii="Arial" w:hAnsi="Arial" w:cs="Arial"/>
        </w:rPr>
        <w:t xml:space="preserve"> </w:t>
      </w:r>
      <w:proofErr w:type="spellStart"/>
      <w:r w:rsidRPr="00202CBD">
        <w:rPr>
          <w:rFonts w:ascii="Arial" w:hAnsi="Arial" w:cs="Arial"/>
        </w:rPr>
        <w:t>Res</w:t>
      </w:r>
      <w:proofErr w:type="spellEnd"/>
      <w:r w:rsidRPr="00202CBD">
        <w:rPr>
          <w:rFonts w:ascii="Arial" w:hAnsi="Arial" w:cs="Arial"/>
        </w:rPr>
        <w:t xml:space="preserve"> 2018. doi:10.1111/jog.13628</w:t>
      </w:r>
    </w:p>
    <w:p w:rsidR="00351805" w:rsidRPr="00396EDB" w:rsidRDefault="00DD703C" w:rsidP="00396EDB">
      <w:pPr>
        <w:spacing w:line="360" w:lineRule="auto"/>
        <w:ind w:firstLine="708"/>
        <w:jc w:val="both"/>
        <w:rPr>
          <w:rFonts w:ascii="Arial" w:hAnsi="Arial" w:cs="Arial"/>
          <w:bCs/>
          <w:shd w:val="clear" w:color="auto" w:fill="FFFFFF"/>
        </w:rPr>
      </w:pPr>
      <w:r w:rsidRPr="00DD703C">
        <w:rPr>
          <w:rFonts w:ascii="Arial" w:hAnsi="Arial" w:cs="Arial"/>
          <w:bCs/>
          <w:shd w:val="clear" w:color="auto" w:fill="FFFFFF"/>
        </w:rPr>
        <w:t xml:space="preserve">Celem kolejnej pracy była odpowiedź na pytanie </w:t>
      </w:r>
      <w:r>
        <w:rPr>
          <w:rFonts w:ascii="Arial" w:hAnsi="Arial" w:cs="Arial"/>
          <w:bCs/>
          <w:shd w:val="clear" w:color="auto" w:fill="FFFFFF"/>
        </w:rPr>
        <w:t>czy badaniem</w:t>
      </w:r>
      <w:r w:rsidR="000D327F">
        <w:rPr>
          <w:rFonts w:ascii="Arial" w:hAnsi="Arial" w:cs="Arial"/>
          <w:bCs/>
          <w:shd w:val="clear" w:color="auto" w:fill="FFFFFF"/>
        </w:rPr>
        <w:t xml:space="preserve"> przesiewowym w diagnostyce zespołu </w:t>
      </w:r>
      <w:proofErr w:type="spellStart"/>
      <w:r w:rsidR="000D327F">
        <w:rPr>
          <w:rFonts w:ascii="Arial" w:hAnsi="Arial" w:cs="Arial"/>
          <w:bCs/>
          <w:shd w:val="clear" w:color="auto" w:fill="FFFFFF"/>
        </w:rPr>
        <w:t>hiperandrogenizacji</w:t>
      </w:r>
      <w:proofErr w:type="spellEnd"/>
      <w:r>
        <w:rPr>
          <w:rFonts w:ascii="Arial" w:hAnsi="Arial" w:cs="Arial"/>
          <w:bCs/>
          <w:shd w:val="clear" w:color="auto" w:fill="FFFFFF"/>
        </w:rPr>
        <w:t xml:space="preserve">, </w:t>
      </w:r>
      <w:r w:rsidR="000D327F">
        <w:rPr>
          <w:rFonts w:ascii="Arial" w:hAnsi="Arial" w:cs="Arial"/>
          <w:bCs/>
          <w:shd w:val="clear" w:color="auto" w:fill="FFFFFF"/>
        </w:rPr>
        <w:t>może być ocena stężenia testosteronu w ś</w:t>
      </w:r>
      <w:r w:rsidR="00202CBD">
        <w:rPr>
          <w:rFonts w:ascii="Arial" w:hAnsi="Arial" w:cs="Arial"/>
          <w:bCs/>
          <w:shd w:val="clear" w:color="auto" w:fill="FFFFFF"/>
        </w:rPr>
        <w:t xml:space="preserve">linie  w porównaniu z oznaczeniami testosteronu </w:t>
      </w:r>
      <w:r w:rsidR="00A90ABA">
        <w:rPr>
          <w:rFonts w:ascii="Arial" w:hAnsi="Arial" w:cs="Arial"/>
          <w:bCs/>
          <w:shd w:val="clear" w:color="auto" w:fill="FFFFFF"/>
        </w:rPr>
        <w:t xml:space="preserve">w surowicy </w:t>
      </w:r>
      <w:r w:rsidR="00202CBD">
        <w:rPr>
          <w:rFonts w:ascii="Arial" w:hAnsi="Arial" w:cs="Arial"/>
          <w:bCs/>
          <w:shd w:val="clear" w:color="auto" w:fill="FFFFFF"/>
        </w:rPr>
        <w:t xml:space="preserve">metodą </w:t>
      </w:r>
      <w:proofErr w:type="spellStart"/>
      <w:r w:rsidR="00202CBD">
        <w:rPr>
          <w:rFonts w:ascii="Arial" w:hAnsi="Arial" w:cs="Arial"/>
          <w:bCs/>
          <w:shd w:val="clear" w:color="auto" w:fill="FFFFFF"/>
        </w:rPr>
        <w:t>LC-MS</w:t>
      </w:r>
      <w:proofErr w:type="spellEnd"/>
      <w:r w:rsidR="00202CBD">
        <w:rPr>
          <w:rFonts w:ascii="Arial" w:hAnsi="Arial" w:cs="Arial"/>
          <w:bCs/>
          <w:shd w:val="clear" w:color="auto" w:fill="FFFFFF"/>
        </w:rPr>
        <w:t xml:space="preserve">/MS oraz testem immunoenzymatycznym oraz jaki zestaw badań jest niezbędny do postawienia rozpoznania biochemicznego </w:t>
      </w:r>
      <w:proofErr w:type="spellStart"/>
      <w:r w:rsidR="00202CBD">
        <w:rPr>
          <w:rFonts w:ascii="Arial" w:hAnsi="Arial" w:cs="Arial"/>
          <w:bCs/>
          <w:shd w:val="clear" w:color="auto" w:fill="FFFFFF"/>
        </w:rPr>
        <w:t>hiperandrogen</w:t>
      </w:r>
      <w:r w:rsidR="00A90ABA">
        <w:rPr>
          <w:rFonts w:ascii="Arial" w:hAnsi="Arial" w:cs="Arial"/>
          <w:bCs/>
          <w:shd w:val="clear" w:color="auto" w:fill="FFFFFF"/>
        </w:rPr>
        <w:t>i</w:t>
      </w:r>
      <w:r w:rsidR="00202CBD">
        <w:rPr>
          <w:rFonts w:ascii="Arial" w:hAnsi="Arial" w:cs="Arial"/>
          <w:bCs/>
          <w:shd w:val="clear" w:color="auto" w:fill="FFFFFF"/>
        </w:rPr>
        <w:t>zmu</w:t>
      </w:r>
      <w:proofErr w:type="spellEnd"/>
      <w:r w:rsidR="00202CBD">
        <w:rPr>
          <w:rFonts w:ascii="Arial" w:hAnsi="Arial" w:cs="Arial"/>
          <w:bCs/>
          <w:shd w:val="clear" w:color="auto" w:fill="FFFFFF"/>
        </w:rPr>
        <w:t xml:space="preserve">. </w:t>
      </w:r>
      <w:r w:rsidR="005D6B71">
        <w:rPr>
          <w:rFonts w:ascii="Arial" w:hAnsi="Arial" w:cs="Arial"/>
          <w:bCs/>
          <w:shd w:val="clear" w:color="auto" w:fill="FFFFFF"/>
        </w:rPr>
        <w:t xml:space="preserve"> </w:t>
      </w:r>
      <w:r w:rsidR="005D6A9F">
        <w:rPr>
          <w:rFonts w:ascii="Arial" w:hAnsi="Arial" w:cs="Arial"/>
          <w:bCs/>
          <w:shd w:val="clear" w:color="auto" w:fill="FFFFFF"/>
        </w:rPr>
        <w:t>Testosteron w ślinie odpowiada tzw. testosteronowi biodostępnemu</w:t>
      </w:r>
      <w:r w:rsidR="00ED0D0E">
        <w:rPr>
          <w:rFonts w:ascii="Arial" w:hAnsi="Arial" w:cs="Arial"/>
          <w:bCs/>
          <w:shd w:val="clear" w:color="auto" w:fill="FFFFFF"/>
        </w:rPr>
        <w:t>,</w:t>
      </w:r>
      <w:r w:rsidR="005D6A9F">
        <w:rPr>
          <w:rFonts w:ascii="Arial" w:hAnsi="Arial" w:cs="Arial"/>
          <w:bCs/>
          <w:shd w:val="clear" w:color="auto" w:fill="FFFFFF"/>
        </w:rPr>
        <w:t xml:space="preserve"> a więc wolnemu i związanemu z albuminami. Testosteron w surowicy odpowiada testosteronowi całkowitemu</w:t>
      </w:r>
      <w:r w:rsidR="00ED0D0E">
        <w:rPr>
          <w:rFonts w:ascii="Arial" w:hAnsi="Arial" w:cs="Arial"/>
          <w:bCs/>
          <w:shd w:val="clear" w:color="auto" w:fill="FFFFFF"/>
        </w:rPr>
        <w:t>,</w:t>
      </w:r>
      <w:r w:rsidR="005D6A9F">
        <w:rPr>
          <w:rFonts w:ascii="Arial" w:hAnsi="Arial" w:cs="Arial"/>
          <w:bCs/>
          <w:shd w:val="clear" w:color="auto" w:fill="FFFFFF"/>
        </w:rPr>
        <w:t xml:space="preserve"> a więc p</w:t>
      </w:r>
      <w:r w:rsidR="00F1137D">
        <w:rPr>
          <w:rFonts w:ascii="Arial" w:hAnsi="Arial" w:cs="Arial"/>
          <w:bCs/>
          <w:shd w:val="clear" w:color="auto" w:fill="FFFFFF"/>
        </w:rPr>
        <w:t>rzede wszystkim związanemu z globuliną wiążącą hormony płciowe (SHBG).</w:t>
      </w:r>
      <w:r w:rsidR="005D6A9F">
        <w:rPr>
          <w:rFonts w:ascii="Arial" w:hAnsi="Arial" w:cs="Arial"/>
          <w:bCs/>
          <w:shd w:val="clear" w:color="auto" w:fill="FFFFFF"/>
        </w:rPr>
        <w:t xml:space="preserve"> </w:t>
      </w:r>
      <w:r w:rsidR="005D6B71">
        <w:rPr>
          <w:rFonts w:ascii="Arial" w:hAnsi="Arial" w:cs="Arial"/>
          <w:bCs/>
          <w:shd w:val="clear" w:color="auto" w:fill="FFFFFF"/>
        </w:rPr>
        <w:t xml:space="preserve">Do badania zakwalifikowano 39 kobiet z zespołem </w:t>
      </w:r>
      <w:proofErr w:type="spellStart"/>
      <w:r w:rsidR="005D6B71">
        <w:rPr>
          <w:rFonts w:ascii="Arial" w:hAnsi="Arial" w:cs="Arial"/>
          <w:bCs/>
          <w:shd w:val="clear" w:color="auto" w:fill="FFFFFF"/>
        </w:rPr>
        <w:t>hiperandrogenizacji</w:t>
      </w:r>
      <w:proofErr w:type="spellEnd"/>
      <w:r w:rsidR="008C78FC">
        <w:rPr>
          <w:rFonts w:ascii="Arial" w:hAnsi="Arial" w:cs="Arial"/>
          <w:bCs/>
          <w:shd w:val="clear" w:color="auto" w:fill="FFFFFF"/>
        </w:rPr>
        <w:t xml:space="preserve"> w przebiegu zespołu PCO</w:t>
      </w:r>
      <w:r w:rsidR="005D6A9F">
        <w:rPr>
          <w:rFonts w:ascii="Arial" w:hAnsi="Arial" w:cs="Arial"/>
          <w:bCs/>
          <w:shd w:val="clear" w:color="auto" w:fill="FFFFFF"/>
        </w:rPr>
        <w:t xml:space="preserve">, idiopatycznego </w:t>
      </w:r>
      <w:proofErr w:type="spellStart"/>
      <w:r w:rsidR="005D6A9F">
        <w:rPr>
          <w:rFonts w:ascii="Arial" w:hAnsi="Arial" w:cs="Arial"/>
          <w:bCs/>
          <w:shd w:val="clear" w:color="auto" w:fill="FFFFFF"/>
        </w:rPr>
        <w:t>hiperandrogenizmu</w:t>
      </w:r>
      <w:proofErr w:type="spellEnd"/>
      <w:r w:rsidR="005D6A9F">
        <w:rPr>
          <w:rFonts w:ascii="Arial" w:hAnsi="Arial" w:cs="Arial"/>
          <w:bCs/>
          <w:shd w:val="clear" w:color="auto" w:fill="FFFFFF"/>
        </w:rPr>
        <w:t>, WPN oraz raka kory nadnerczy</w:t>
      </w:r>
      <w:r w:rsidR="00244FCE">
        <w:rPr>
          <w:rFonts w:ascii="Arial" w:hAnsi="Arial" w:cs="Arial"/>
          <w:bCs/>
          <w:shd w:val="clear" w:color="auto" w:fill="FFFFFF"/>
        </w:rPr>
        <w:t xml:space="preserve"> oraz grup</w:t>
      </w:r>
      <w:r w:rsidR="000104C9">
        <w:rPr>
          <w:rFonts w:ascii="Arial" w:hAnsi="Arial" w:cs="Arial"/>
          <w:bCs/>
          <w:shd w:val="clear" w:color="auto" w:fill="FFFFFF"/>
        </w:rPr>
        <w:t>ę kontrolną</w:t>
      </w:r>
      <w:r w:rsidR="00244FCE">
        <w:rPr>
          <w:rFonts w:ascii="Arial" w:hAnsi="Arial" w:cs="Arial"/>
          <w:bCs/>
          <w:shd w:val="clear" w:color="auto" w:fill="FFFFFF"/>
        </w:rPr>
        <w:t xml:space="preserve"> zdrowych kobiet</w:t>
      </w:r>
      <w:r w:rsidR="00A90ABA">
        <w:rPr>
          <w:rFonts w:ascii="Arial" w:hAnsi="Arial" w:cs="Arial"/>
          <w:bCs/>
          <w:shd w:val="clear" w:color="auto" w:fill="FFFFFF"/>
        </w:rPr>
        <w:t>.</w:t>
      </w:r>
      <w:r w:rsidR="005D6A9F">
        <w:rPr>
          <w:rFonts w:ascii="Arial" w:hAnsi="Arial" w:cs="Arial"/>
          <w:bCs/>
          <w:shd w:val="clear" w:color="auto" w:fill="FFFFFF"/>
        </w:rPr>
        <w:t xml:space="preserve"> Wykazano, iż ocena stężenia testosteronu w ślinie  charakteryzuje </w:t>
      </w:r>
      <w:r w:rsidR="004A00C1">
        <w:rPr>
          <w:rFonts w:ascii="Arial" w:hAnsi="Arial" w:cs="Arial"/>
          <w:bCs/>
          <w:shd w:val="clear" w:color="auto" w:fill="FFFFFF"/>
        </w:rPr>
        <w:t xml:space="preserve">się </w:t>
      </w:r>
      <w:r w:rsidR="005D6A9F">
        <w:rPr>
          <w:rFonts w:ascii="Arial" w:hAnsi="Arial" w:cs="Arial"/>
          <w:bCs/>
          <w:shd w:val="clear" w:color="auto" w:fill="FFFFFF"/>
        </w:rPr>
        <w:t xml:space="preserve">zbył małą czułością diagnostyczną </w:t>
      </w:r>
      <w:r w:rsidR="00306808">
        <w:rPr>
          <w:rFonts w:ascii="Arial" w:hAnsi="Arial" w:cs="Arial"/>
          <w:bCs/>
          <w:shd w:val="clear" w:color="auto" w:fill="FFFFFF"/>
        </w:rPr>
        <w:t xml:space="preserve">w porównaniu z metodą </w:t>
      </w:r>
      <w:proofErr w:type="spellStart"/>
      <w:r w:rsidR="00306808">
        <w:rPr>
          <w:rFonts w:ascii="Arial" w:hAnsi="Arial" w:cs="Arial"/>
          <w:bCs/>
          <w:shd w:val="clear" w:color="auto" w:fill="FFFFFF"/>
        </w:rPr>
        <w:t>LC-MS</w:t>
      </w:r>
      <w:proofErr w:type="spellEnd"/>
      <w:r w:rsidR="00306808">
        <w:rPr>
          <w:rFonts w:ascii="Arial" w:hAnsi="Arial" w:cs="Arial"/>
          <w:bCs/>
          <w:shd w:val="clear" w:color="auto" w:fill="FFFFFF"/>
        </w:rPr>
        <w:t>/MS jak również testem immunoenzymatycznym. Podwyższone stężenie testosteronu</w:t>
      </w:r>
      <w:r w:rsidR="004A00C1">
        <w:rPr>
          <w:rFonts w:ascii="Arial" w:hAnsi="Arial" w:cs="Arial"/>
          <w:bCs/>
          <w:shd w:val="clear" w:color="auto" w:fill="FFFFFF"/>
        </w:rPr>
        <w:t>,</w:t>
      </w:r>
      <w:r w:rsidR="00306808">
        <w:rPr>
          <w:rFonts w:ascii="Arial" w:hAnsi="Arial" w:cs="Arial"/>
          <w:bCs/>
          <w:shd w:val="clear" w:color="auto" w:fill="FFFFFF"/>
        </w:rPr>
        <w:t xml:space="preserve"> mierzone zakresem norm ustalonym na podstawie grupy kontrolnej</w:t>
      </w:r>
      <w:r w:rsidR="006926F8">
        <w:rPr>
          <w:rFonts w:ascii="Arial" w:hAnsi="Arial" w:cs="Arial"/>
          <w:bCs/>
          <w:shd w:val="clear" w:color="auto" w:fill="FFFFFF"/>
        </w:rPr>
        <w:t>, stwierdzono u 44</w:t>
      </w:r>
      <w:r w:rsidR="004A00C1">
        <w:rPr>
          <w:rFonts w:ascii="Arial" w:hAnsi="Arial" w:cs="Arial"/>
          <w:bCs/>
          <w:shd w:val="clear" w:color="auto" w:fill="FFFFFF"/>
        </w:rPr>
        <w:t>% kobiet</w:t>
      </w:r>
      <w:r w:rsidR="00FE25E3">
        <w:rPr>
          <w:rFonts w:ascii="Arial" w:hAnsi="Arial" w:cs="Arial"/>
          <w:bCs/>
          <w:shd w:val="clear" w:color="auto" w:fill="FFFFFF"/>
        </w:rPr>
        <w:t xml:space="preserve"> z zespołem </w:t>
      </w:r>
      <w:proofErr w:type="spellStart"/>
      <w:r w:rsidR="00FE25E3">
        <w:rPr>
          <w:rFonts w:ascii="Arial" w:hAnsi="Arial" w:cs="Arial"/>
          <w:bCs/>
          <w:shd w:val="clear" w:color="auto" w:fill="FFFFFF"/>
        </w:rPr>
        <w:t>hiperandrogenizacji</w:t>
      </w:r>
      <w:proofErr w:type="spellEnd"/>
      <w:r w:rsidR="004A00C1">
        <w:rPr>
          <w:rFonts w:ascii="Arial" w:hAnsi="Arial" w:cs="Arial"/>
          <w:bCs/>
          <w:shd w:val="clear" w:color="auto" w:fill="FFFFFF"/>
        </w:rPr>
        <w:t xml:space="preserve"> </w:t>
      </w:r>
      <w:r w:rsidR="007815EF">
        <w:rPr>
          <w:rFonts w:ascii="Arial" w:hAnsi="Arial" w:cs="Arial"/>
          <w:bCs/>
          <w:shd w:val="clear" w:color="auto" w:fill="FFFFFF"/>
        </w:rPr>
        <w:t>metodą</w:t>
      </w:r>
      <w:r w:rsidR="004A00C1">
        <w:rPr>
          <w:rFonts w:ascii="Arial" w:hAnsi="Arial" w:cs="Arial"/>
          <w:bCs/>
          <w:shd w:val="clear" w:color="auto" w:fill="FFFFFF"/>
        </w:rPr>
        <w:t xml:space="preserve"> </w:t>
      </w:r>
      <w:proofErr w:type="spellStart"/>
      <w:r w:rsidR="004A00C1">
        <w:rPr>
          <w:rFonts w:ascii="Arial" w:hAnsi="Arial" w:cs="Arial"/>
          <w:bCs/>
          <w:shd w:val="clear" w:color="auto" w:fill="FFFFFF"/>
        </w:rPr>
        <w:t>LC-MS</w:t>
      </w:r>
      <w:proofErr w:type="spellEnd"/>
      <w:r w:rsidR="004A00C1">
        <w:rPr>
          <w:rFonts w:ascii="Arial" w:hAnsi="Arial" w:cs="Arial"/>
          <w:bCs/>
          <w:shd w:val="clear" w:color="auto" w:fill="FFFFFF"/>
        </w:rPr>
        <w:t xml:space="preserve">/MS oraz u 41% testem immunoenzymatycznym. U 88% kobiet, których testosteron przekraczał górną granicę normy testem </w:t>
      </w:r>
      <w:proofErr w:type="spellStart"/>
      <w:r w:rsidR="004A00C1">
        <w:rPr>
          <w:rFonts w:ascii="Arial" w:hAnsi="Arial" w:cs="Arial"/>
          <w:bCs/>
          <w:shd w:val="clear" w:color="auto" w:fill="FFFFFF"/>
        </w:rPr>
        <w:t>LC-MS</w:t>
      </w:r>
      <w:proofErr w:type="spellEnd"/>
      <w:r w:rsidR="004A00C1">
        <w:rPr>
          <w:rFonts w:ascii="Arial" w:hAnsi="Arial" w:cs="Arial"/>
          <w:bCs/>
          <w:shd w:val="clear" w:color="auto" w:fill="FFFFFF"/>
        </w:rPr>
        <w:t xml:space="preserve">/MS </w:t>
      </w:r>
      <w:r w:rsidR="00FE25E3">
        <w:rPr>
          <w:rFonts w:ascii="Arial" w:hAnsi="Arial" w:cs="Arial"/>
          <w:bCs/>
          <w:shd w:val="clear" w:color="auto" w:fill="FFFFFF"/>
        </w:rPr>
        <w:t>stęże</w:t>
      </w:r>
      <w:r w:rsidR="004A00C1">
        <w:rPr>
          <w:rFonts w:ascii="Arial" w:hAnsi="Arial" w:cs="Arial"/>
          <w:bCs/>
          <w:shd w:val="clear" w:color="auto" w:fill="FFFFFF"/>
        </w:rPr>
        <w:t xml:space="preserve">nie testosteronu w ślinie pozostawało w granicy normy. </w:t>
      </w:r>
      <w:r w:rsidR="00A7749A">
        <w:rPr>
          <w:rFonts w:ascii="Arial" w:hAnsi="Arial" w:cs="Arial"/>
          <w:bCs/>
          <w:shd w:val="clear" w:color="auto" w:fill="FFFFFF"/>
        </w:rPr>
        <w:t>W przypadku jednoznacznie wysokich wartości testosteronu stwierdzanych u pacjentów z wrodzonym przerostem kory nadnerczy i rakiem kory nadnerczy stężeni</w:t>
      </w:r>
      <w:r w:rsidR="00B977E6">
        <w:rPr>
          <w:rFonts w:ascii="Arial" w:hAnsi="Arial" w:cs="Arial"/>
          <w:bCs/>
          <w:shd w:val="clear" w:color="auto" w:fill="FFFFFF"/>
        </w:rPr>
        <w:t xml:space="preserve">e </w:t>
      </w:r>
      <w:r w:rsidR="00A7749A">
        <w:rPr>
          <w:rFonts w:ascii="Arial" w:hAnsi="Arial" w:cs="Arial"/>
          <w:bCs/>
          <w:shd w:val="clear" w:color="auto" w:fill="FFFFFF"/>
        </w:rPr>
        <w:t xml:space="preserve">testosteronu w ślinie było również istotnie podwyższone. </w:t>
      </w:r>
      <w:r w:rsidR="00FE25E3">
        <w:rPr>
          <w:rFonts w:ascii="Arial" w:hAnsi="Arial" w:cs="Arial"/>
          <w:bCs/>
          <w:shd w:val="clear" w:color="auto" w:fill="FFFFFF"/>
        </w:rPr>
        <w:t>Przeanalizowano także dane dotyczące optymalnego zestawu androgenów, które powinny  być badane w celu ustalenia rozpoznania biochem</w:t>
      </w:r>
      <w:r w:rsidR="006926F8">
        <w:rPr>
          <w:rFonts w:ascii="Arial" w:hAnsi="Arial" w:cs="Arial"/>
          <w:bCs/>
          <w:shd w:val="clear" w:color="auto" w:fill="FFFFFF"/>
        </w:rPr>
        <w:t xml:space="preserve">icznego </w:t>
      </w:r>
      <w:proofErr w:type="spellStart"/>
      <w:r w:rsidR="006926F8">
        <w:rPr>
          <w:rFonts w:ascii="Arial" w:hAnsi="Arial" w:cs="Arial"/>
          <w:bCs/>
          <w:shd w:val="clear" w:color="auto" w:fill="FFFFFF"/>
        </w:rPr>
        <w:t>hiperandrogenizmu</w:t>
      </w:r>
      <w:proofErr w:type="spellEnd"/>
      <w:r w:rsidR="006926F8">
        <w:rPr>
          <w:rFonts w:ascii="Arial" w:hAnsi="Arial" w:cs="Arial"/>
          <w:bCs/>
          <w:shd w:val="clear" w:color="auto" w:fill="FFFFFF"/>
        </w:rPr>
        <w:t>. U 50</w:t>
      </w:r>
      <w:r w:rsidR="00FE25E3">
        <w:rPr>
          <w:rFonts w:ascii="Arial" w:hAnsi="Arial" w:cs="Arial"/>
          <w:bCs/>
          <w:shd w:val="clear" w:color="auto" w:fill="FFFFFF"/>
        </w:rPr>
        <w:t xml:space="preserve">% kobiet z zespołem </w:t>
      </w:r>
      <w:proofErr w:type="spellStart"/>
      <w:r w:rsidR="00FE25E3">
        <w:rPr>
          <w:rFonts w:ascii="Arial" w:hAnsi="Arial" w:cs="Arial"/>
          <w:bCs/>
          <w:shd w:val="clear" w:color="auto" w:fill="FFFFFF"/>
        </w:rPr>
        <w:t>hipera</w:t>
      </w:r>
      <w:r w:rsidR="00004547">
        <w:rPr>
          <w:rFonts w:ascii="Arial" w:hAnsi="Arial" w:cs="Arial"/>
          <w:bCs/>
          <w:shd w:val="clear" w:color="auto" w:fill="FFFFFF"/>
        </w:rPr>
        <w:t>n</w:t>
      </w:r>
      <w:r w:rsidR="00FE25E3">
        <w:rPr>
          <w:rFonts w:ascii="Arial" w:hAnsi="Arial" w:cs="Arial"/>
          <w:bCs/>
          <w:shd w:val="clear" w:color="auto" w:fill="FFFFFF"/>
        </w:rPr>
        <w:t>drogenizacji</w:t>
      </w:r>
      <w:proofErr w:type="spellEnd"/>
      <w:r w:rsidR="000104C9">
        <w:rPr>
          <w:rFonts w:ascii="Arial" w:hAnsi="Arial" w:cs="Arial"/>
          <w:bCs/>
          <w:shd w:val="clear" w:color="auto" w:fill="FFFFFF"/>
        </w:rPr>
        <w:t>,</w:t>
      </w:r>
      <w:r w:rsidR="00FE25E3">
        <w:rPr>
          <w:rFonts w:ascii="Arial" w:hAnsi="Arial" w:cs="Arial"/>
          <w:bCs/>
          <w:shd w:val="clear" w:color="auto" w:fill="FFFFFF"/>
        </w:rPr>
        <w:t xml:space="preserve"> u których stężenie testosteronu w surowicy mierzone </w:t>
      </w:r>
      <w:proofErr w:type="spellStart"/>
      <w:r w:rsidR="00FE25E3">
        <w:rPr>
          <w:rFonts w:ascii="Arial" w:hAnsi="Arial" w:cs="Arial"/>
          <w:bCs/>
          <w:shd w:val="clear" w:color="auto" w:fill="FFFFFF"/>
        </w:rPr>
        <w:t>LC-MS</w:t>
      </w:r>
      <w:proofErr w:type="spellEnd"/>
      <w:r w:rsidR="00FE25E3">
        <w:rPr>
          <w:rFonts w:ascii="Arial" w:hAnsi="Arial" w:cs="Arial"/>
          <w:bCs/>
          <w:shd w:val="clear" w:color="auto" w:fill="FFFFFF"/>
        </w:rPr>
        <w:t xml:space="preserve">/MS było prawidłowe obserwowano podwyższone stężenie siarczanu </w:t>
      </w:r>
      <w:proofErr w:type="spellStart"/>
      <w:r w:rsidR="00FE25E3">
        <w:rPr>
          <w:rFonts w:ascii="Arial" w:hAnsi="Arial" w:cs="Arial"/>
          <w:bCs/>
          <w:shd w:val="clear" w:color="auto" w:fill="FFFFFF"/>
        </w:rPr>
        <w:t>dehydroepiandrosteronu</w:t>
      </w:r>
      <w:proofErr w:type="spellEnd"/>
      <w:r w:rsidR="00FE25E3">
        <w:rPr>
          <w:rFonts w:ascii="Arial" w:hAnsi="Arial" w:cs="Arial"/>
          <w:bCs/>
          <w:shd w:val="clear" w:color="auto" w:fill="FFFFFF"/>
        </w:rPr>
        <w:t xml:space="preserve"> (DHEAS). U żadnej z pacjentek nie stwierdzono natomiast aby ocena stężenia </w:t>
      </w:r>
      <w:proofErr w:type="spellStart"/>
      <w:r w:rsidR="00FE25E3">
        <w:rPr>
          <w:rFonts w:ascii="Arial" w:hAnsi="Arial" w:cs="Arial"/>
          <w:bCs/>
          <w:shd w:val="clear" w:color="auto" w:fill="FFFFFF"/>
        </w:rPr>
        <w:t>androstendionu</w:t>
      </w:r>
      <w:proofErr w:type="spellEnd"/>
      <w:r w:rsidR="00FE25E3">
        <w:rPr>
          <w:rFonts w:ascii="Arial" w:hAnsi="Arial" w:cs="Arial"/>
          <w:bCs/>
          <w:shd w:val="clear" w:color="auto" w:fill="FFFFFF"/>
        </w:rPr>
        <w:t xml:space="preserve"> pomogła w diagnozie biochemicz</w:t>
      </w:r>
      <w:r w:rsidR="001D5DEF">
        <w:rPr>
          <w:rFonts w:ascii="Arial" w:hAnsi="Arial" w:cs="Arial"/>
          <w:bCs/>
          <w:shd w:val="clear" w:color="auto" w:fill="FFFFFF"/>
        </w:rPr>
        <w:t>n</w:t>
      </w:r>
      <w:r w:rsidR="000104C9">
        <w:rPr>
          <w:rFonts w:ascii="Arial" w:hAnsi="Arial" w:cs="Arial"/>
          <w:bCs/>
          <w:shd w:val="clear" w:color="auto" w:fill="FFFFFF"/>
        </w:rPr>
        <w:t>e</w:t>
      </w:r>
      <w:r w:rsidR="001D5DEF">
        <w:rPr>
          <w:rFonts w:ascii="Arial" w:hAnsi="Arial" w:cs="Arial"/>
          <w:bCs/>
          <w:shd w:val="clear" w:color="auto" w:fill="FFFFFF"/>
        </w:rPr>
        <w:t xml:space="preserve">go </w:t>
      </w:r>
      <w:proofErr w:type="spellStart"/>
      <w:r w:rsidR="001D5DEF">
        <w:rPr>
          <w:rFonts w:ascii="Arial" w:hAnsi="Arial" w:cs="Arial"/>
          <w:bCs/>
          <w:shd w:val="clear" w:color="auto" w:fill="FFFFFF"/>
        </w:rPr>
        <w:t>hiper</w:t>
      </w:r>
      <w:r w:rsidR="00FE25E3">
        <w:rPr>
          <w:rFonts w:ascii="Arial" w:hAnsi="Arial" w:cs="Arial"/>
          <w:bCs/>
          <w:shd w:val="clear" w:color="auto" w:fill="FFFFFF"/>
        </w:rPr>
        <w:t>a</w:t>
      </w:r>
      <w:r w:rsidR="001D5DEF">
        <w:rPr>
          <w:rFonts w:ascii="Arial" w:hAnsi="Arial" w:cs="Arial"/>
          <w:bCs/>
          <w:shd w:val="clear" w:color="auto" w:fill="FFFFFF"/>
        </w:rPr>
        <w:t>n</w:t>
      </w:r>
      <w:r w:rsidR="00FE25E3">
        <w:rPr>
          <w:rFonts w:ascii="Arial" w:hAnsi="Arial" w:cs="Arial"/>
          <w:bCs/>
          <w:shd w:val="clear" w:color="auto" w:fill="FFFFFF"/>
        </w:rPr>
        <w:t>drogenizmu</w:t>
      </w:r>
      <w:proofErr w:type="spellEnd"/>
      <w:r w:rsidR="00FE25E3">
        <w:rPr>
          <w:rFonts w:ascii="Arial" w:hAnsi="Arial" w:cs="Arial"/>
          <w:bCs/>
          <w:shd w:val="clear" w:color="auto" w:fill="FFFFFF"/>
        </w:rPr>
        <w:t>, ponieważ u wszystkich kobiet</w:t>
      </w:r>
      <w:r w:rsidR="00C361B0">
        <w:rPr>
          <w:rFonts w:ascii="Arial" w:hAnsi="Arial" w:cs="Arial"/>
          <w:bCs/>
          <w:shd w:val="clear" w:color="auto" w:fill="FFFFFF"/>
        </w:rPr>
        <w:t xml:space="preserve"> u których stwierdzono podwyż</w:t>
      </w:r>
      <w:r w:rsidR="00FE25E3">
        <w:rPr>
          <w:rFonts w:ascii="Arial" w:hAnsi="Arial" w:cs="Arial"/>
          <w:bCs/>
          <w:shd w:val="clear" w:color="auto" w:fill="FFFFFF"/>
        </w:rPr>
        <w:t>sz</w:t>
      </w:r>
      <w:r w:rsidR="00C361B0">
        <w:rPr>
          <w:rFonts w:ascii="Arial" w:hAnsi="Arial" w:cs="Arial"/>
          <w:bCs/>
          <w:shd w:val="clear" w:color="auto" w:fill="FFFFFF"/>
        </w:rPr>
        <w:t>o</w:t>
      </w:r>
      <w:r w:rsidR="00FE25E3">
        <w:rPr>
          <w:rFonts w:ascii="Arial" w:hAnsi="Arial" w:cs="Arial"/>
          <w:bCs/>
          <w:shd w:val="clear" w:color="auto" w:fill="FFFFFF"/>
        </w:rPr>
        <w:t xml:space="preserve">ne </w:t>
      </w:r>
      <w:r w:rsidR="000104C9">
        <w:rPr>
          <w:rFonts w:ascii="Arial" w:hAnsi="Arial" w:cs="Arial"/>
          <w:bCs/>
          <w:shd w:val="clear" w:color="auto" w:fill="FFFFFF"/>
        </w:rPr>
        <w:t>stęże</w:t>
      </w:r>
      <w:r w:rsidR="00FE25E3">
        <w:rPr>
          <w:rFonts w:ascii="Arial" w:hAnsi="Arial" w:cs="Arial"/>
          <w:bCs/>
          <w:shd w:val="clear" w:color="auto" w:fill="FFFFFF"/>
        </w:rPr>
        <w:t xml:space="preserve">nie </w:t>
      </w:r>
      <w:proofErr w:type="spellStart"/>
      <w:r w:rsidR="00FE25E3">
        <w:rPr>
          <w:rFonts w:ascii="Arial" w:hAnsi="Arial" w:cs="Arial"/>
          <w:bCs/>
          <w:shd w:val="clear" w:color="auto" w:fill="FFFFFF"/>
        </w:rPr>
        <w:t>androstendionu</w:t>
      </w:r>
      <w:proofErr w:type="spellEnd"/>
      <w:r w:rsidR="00FE25E3">
        <w:rPr>
          <w:rFonts w:ascii="Arial" w:hAnsi="Arial" w:cs="Arial"/>
          <w:bCs/>
          <w:shd w:val="clear" w:color="auto" w:fill="FFFFFF"/>
        </w:rPr>
        <w:t xml:space="preserve">, stężenia </w:t>
      </w:r>
      <w:r w:rsidR="00C361B0">
        <w:rPr>
          <w:rFonts w:ascii="Arial" w:hAnsi="Arial" w:cs="Arial"/>
          <w:bCs/>
          <w:shd w:val="clear" w:color="auto" w:fill="FFFFFF"/>
        </w:rPr>
        <w:t>testosteronu i/</w:t>
      </w:r>
      <w:r w:rsidR="00FE25E3">
        <w:rPr>
          <w:rFonts w:ascii="Arial" w:hAnsi="Arial" w:cs="Arial"/>
          <w:bCs/>
          <w:shd w:val="clear" w:color="auto" w:fill="FFFFFF"/>
        </w:rPr>
        <w:t>lub</w:t>
      </w:r>
      <w:r w:rsidR="00C361B0">
        <w:rPr>
          <w:rFonts w:ascii="Arial" w:hAnsi="Arial" w:cs="Arial"/>
          <w:bCs/>
          <w:shd w:val="clear" w:color="auto" w:fill="FFFFFF"/>
        </w:rPr>
        <w:t xml:space="preserve"> DHEAS również przekraczało górn</w:t>
      </w:r>
      <w:r w:rsidR="000104C9">
        <w:rPr>
          <w:rFonts w:ascii="Arial" w:hAnsi="Arial" w:cs="Arial"/>
          <w:bCs/>
          <w:shd w:val="clear" w:color="auto" w:fill="FFFFFF"/>
        </w:rPr>
        <w:t>ą</w:t>
      </w:r>
      <w:r w:rsidR="00C361B0">
        <w:rPr>
          <w:rFonts w:ascii="Arial" w:hAnsi="Arial" w:cs="Arial"/>
          <w:bCs/>
          <w:shd w:val="clear" w:color="auto" w:fill="FFFFFF"/>
        </w:rPr>
        <w:t xml:space="preserve"> granic</w:t>
      </w:r>
      <w:r w:rsidR="000104C9">
        <w:rPr>
          <w:rFonts w:ascii="Arial" w:hAnsi="Arial" w:cs="Arial"/>
          <w:bCs/>
          <w:shd w:val="clear" w:color="auto" w:fill="FFFFFF"/>
        </w:rPr>
        <w:t>ę</w:t>
      </w:r>
      <w:r w:rsidR="00C361B0">
        <w:rPr>
          <w:rFonts w:ascii="Arial" w:hAnsi="Arial" w:cs="Arial"/>
          <w:bCs/>
          <w:shd w:val="clear" w:color="auto" w:fill="FFFFFF"/>
        </w:rPr>
        <w:t xml:space="preserve"> zakresu normy. Wyniki tej obserwacji odpowiadają fizjologicznemu pochodzeniu </w:t>
      </w:r>
      <w:r w:rsidR="006926F8">
        <w:rPr>
          <w:rFonts w:ascii="Arial" w:hAnsi="Arial" w:cs="Arial"/>
          <w:bCs/>
          <w:shd w:val="clear" w:color="auto" w:fill="FFFFFF"/>
        </w:rPr>
        <w:t>androgenów: testosteron ma w 60</w:t>
      </w:r>
      <w:r w:rsidR="00C361B0">
        <w:rPr>
          <w:rFonts w:ascii="Arial" w:hAnsi="Arial" w:cs="Arial"/>
          <w:bCs/>
          <w:shd w:val="clear" w:color="auto" w:fill="FFFFFF"/>
        </w:rPr>
        <w:t>% pochodzenie jajnikow</w:t>
      </w:r>
      <w:r w:rsidR="006926F8">
        <w:rPr>
          <w:rFonts w:ascii="Arial" w:hAnsi="Arial" w:cs="Arial"/>
          <w:bCs/>
          <w:shd w:val="clear" w:color="auto" w:fill="FFFFFF"/>
        </w:rPr>
        <w:t>e, w 40</w:t>
      </w:r>
      <w:r w:rsidR="001D5DEF">
        <w:rPr>
          <w:rFonts w:ascii="Arial" w:hAnsi="Arial" w:cs="Arial"/>
          <w:bCs/>
          <w:shd w:val="clear" w:color="auto" w:fill="FFFFFF"/>
        </w:rPr>
        <w:t>% nadnerczowe, DHEAS głó</w:t>
      </w:r>
      <w:r w:rsidR="00C361B0">
        <w:rPr>
          <w:rFonts w:ascii="Arial" w:hAnsi="Arial" w:cs="Arial"/>
          <w:bCs/>
          <w:shd w:val="clear" w:color="auto" w:fill="FFFFFF"/>
        </w:rPr>
        <w:t>wnie na</w:t>
      </w:r>
      <w:r w:rsidR="006926F8">
        <w:rPr>
          <w:rFonts w:ascii="Arial" w:hAnsi="Arial" w:cs="Arial"/>
          <w:bCs/>
          <w:shd w:val="clear" w:color="auto" w:fill="FFFFFF"/>
        </w:rPr>
        <w:t xml:space="preserve">dnerczowe a </w:t>
      </w:r>
      <w:proofErr w:type="spellStart"/>
      <w:r w:rsidR="006926F8">
        <w:rPr>
          <w:rFonts w:ascii="Arial" w:hAnsi="Arial" w:cs="Arial"/>
          <w:bCs/>
          <w:shd w:val="clear" w:color="auto" w:fill="FFFFFF"/>
        </w:rPr>
        <w:t>androstendion</w:t>
      </w:r>
      <w:proofErr w:type="spellEnd"/>
      <w:r w:rsidR="006926F8">
        <w:rPr>
          <w:rFonts w:ascii="Arial" w:hAnsi="Arial" w:cs="Arial"/>
          <w:bCs/>
          <w:shd w:val="clear" w:color="auto" w:fill="FFFFFF"/>
        </w:rPr>
        <w:t xml:space="preserve"> </w:t>
      </w:r>
      <w:r w:rsidR="006926F8">
        <w:rPr>
          <w:rFonts w:ascii="Arial" w:hAnsi="Arial" w:cs="Arial"/>
          <w:bCs/>
          <w:shd w:val="clear" w:color="auto" w:fill="FFFFFF"/>
        </w:rPr>
        <w:lastRenderedPageBreak/>
        <w:t>po 50</w:t>
      </w:r>
      <w:r w:rsidR="00C361B0">
        <w:rPr>
          <w:rFonts w:ascii="Arial" w:hAnsi="Arial" w:cs="Arial"/>
          <w:bCs/>
          <w:shd w:val="clear" w:color="auto" w:fill="FFFFFF"/>
        </w:rPr>
        <w:t>% jajnikowo-nadnerczowe. Wnioskiem z badania</w:t>
      </w:r>
      <w:r w:rsidR="001D5DEF">
        <w:rPr>
          <w:rFonts w:ascii="Arial" w:hAnsi="Arial" w:cs="Arial"/>
          <w:bCs/>
          <w:shd w:val="clear" w:color="auto" w:fill="FFFFFF"/>
        </w:rPr>
        <w:t xml:space="preserve"> był brak możliwości rutynowego zastosowania oceny stężenia testosteronu w ślinie jako badania przesiewowego w kierunku </w:t>
      </w:r>
      <w:r w:rsidR="00A7749A">
        <w:rPr>
          <w:rFonts w:ascii="Arial" w:hAnsi="Arial" w:cs="Arial"/>
          <w:bCs/>
          <w:shd w:val="clear" w:color="auto" w:fill="FFFFFF"/>
        </w:rPr>
        <w:t xml:space="preserve">łagodnych postaci </w:t>
      </w:r>
      <w:r w:rsidR="001D5DEF">
        <w:rPr>
          <w:rFonts w:ascii="Arial" w:hAnsi="Arial" w:cs="Arial"/>
          <w:bCs/>
          <w:shd w:val="clear" w:color="auto" w:fill="FFFFFF"/>
        </w:rPr>
        <w:t xml:space="preserve"> </w:t>
      </w:r>
      <w:proofErr w:type="spellStart"/>
      <w:r w:rsidR="001D5DEF">
        <w:rPr>
          <w:rFonts w:ascii="Arial" w:hAnsi="Arial" w:cs="Arial"/>
          <w:bCs/>
          <w:shd w:val="clear" w:color="auto" w:fill="FFFFFF"/>
        </w:rPr>
        <w:t>hiperandrogenizmu</w:t>
      </w:r>
      <w:proofErr w:type="spellEnd"/>
      <w:r w:rsidR="001D5DEF">
        <w:rPr>
          <w:rFonts w:ascii="Arial" w:hAnsi="Arial" w:cs="Arial"/>
          <w:bCs/>
          <w:shd w:val="clear" w:color="auto" w:fill="FFFFFF"/>
        </w:rPr>
        <w:t xml:space="preserve"> oraz konieczność uzupełnienia badania testosteronu w surowicy badaniem DHEAS w celu postawienia tego rozpoznania.   </w:t>
      </w:r>
      <w:r w:rsidR="00C361B0">
        <w:rPr>
          <w:rFonts w:ascii="Arial" w:hAnsi="Arial" w:cs="Arial"/>
          <w:bCs/>
          <w:shd w:val="clear" w:color="auto" w:fill="FFFFFF"/>
        </w:rPr>
        <w:t xml:space="preserve">   </w:t>
      </w:r>
      <w:r w:rsidR="00396EDB">
        <w:rPr>
          <w:rFonts w:ascii="Arial" w:hAnsi="Arial" w:cs="Arial"/>
        </w:rPr>
        <w:t xml:space="preserve"> </w:t>
      </w:r>
      <w:r w:rsidR="00183AB1" w:rsidRPr="00056AB4">
        <w:rPr>
          <w:rFonts w:ascii="Arial" w:hAnsi="Arial" w:cs="Arial"/>
        </w:rPr>
        <w:t xml:space="preserve"> </w:t>
      </w:r>
      <w:r w:rsidR="009E6D70" w:rsidRPr="00056AB4">
        <w:rPr>
          <w:rFonts w:ascii="Arial" w:hAnsi="Arial" w:cs="Arial"/>
        </w:rPr>
        <w:t xml:space="preserve"> </w:t>
      </w:r>
      <w:r w:rsidR="00396EDB">
        <w:rPr>
          <w:rFonts w:ascii="Arial" w:hAnsi="Arial" w:cs="Arial"/>
        </w:rPr>
        <w:t xml:space="preserve">    </w:t>
      </w:r>
    </w:p>
    <w:p w:rsidR="00CC177F" w:rsidRDefault="008F485B" w:rsidP="008F485B">
      <w:pPr>
        <w:spacing w:line="360" w:lineRule="auto"/>
        <w:rPr>
          <w:rFonts w:ascii="Arial" w:hAnsi="Arial" w:cs="Arial"/>
          <w:b/>
          <w:bCs/>
          <w:shd w:val="clear" w:color="auto" w:fill="FFFFFF"/>
        </w:rPr>
      </w:pPr>
      <w:r w:rsidRPr="008F485B">
        <w:rPr>
          <w:rFonts w:ascii="Arial" w:hAnsi="Arial" w:cs="Arial"/>
          <w:b/>
          <w:bCs/>
          <w:shd w:val="clear" w:color="auto" w:fill="FFFFFF"/>
        </w:rPr>
        <w:t xml:space="preserve">Podsumowanie </w:t>
      </w:r>
      <w:r w:rsidR="00CC177F" w:rsidRPr="008F485B">
        <w:rPr>
          <w:rFonts w:ascii="Arial" w:hAnsi="Arial" w:cs="Arial"/>
          <w:b/>
          <w:bCs/>
          <w:shd w:val="clear" w:color="auto" w:fill="FFFFFF"/>
        </w:rPr>
        <w:t xml:space="preserve">      </w:t>
      </w:r>
    </w:p>
    <w:p w:rsidR="00B26D12" w:rsidRPr="00271E6A" w:rsidRDefault="00B26D12" w:rsidP="004329B4">
      <w:pPr>
        <w:spacing w:line="360" w:lineRule="auto"/>
        <w:jc w:val="both"/>
        <w:rPr>
          <w:rFonts w:ascii="Arial" w:hAnsi="Arial" w:cs="Arial"/>
          <w:b/>
          <w:bCs/>
          <w:shd w:val="clear" w:color="auto" w:fill="FFFFFF"/>
        </w:rPr>
      </w:pPr>
      <w:r>
        <w:rPr>
          <w:rFonts w:ascii="Arial" w:hAnsi="Arial" w:cs="Arial"/>
          <w:b/>
          <w:bCs/>
          <w:shd w:val="clear" w:color="auto" w:fill="FFFFFF"/>
        </w:rPr>
        <w:tab/>
      </w:r>
      <w:r w:rsidR="004329B4" w:rsidRPr="004329B4">
        <w:rPr>
          <w:rFonts w:ascii="Arial" w:hAnsi="Arial" w:cs="Arial"/>
          <w:bCs/>
          <w:shd w:val="clear" w:color="auto" w:fill="FFFFFF"/>
        </w:rPr>
        <w:t xml:space="preserve">Diagnostyka </w:t>
      </w:r>
      <w:r w:rsidR="004329B4">
        <w:rPr>
          <w:rFonts w:ascii="Arial" w:hAnsi="Arial" w:cs="Arial"/>
          <w:bCs/>
          <w:shd w:val="clear" w:color="auto" w:fill="FFFFFF"/>
        </w:rPr>
        <w:t xml:space="preserve">hormonalna chorób nadnerczy </w:t>
      </w:r>
      <w:r w:rsidR="00271E6A">
        <w:rPr>
          <w:rFonts w:ascii="Arial" w:hAnsi="Arial" w:cs="Arial"/>
          <w:bCs/>
          <w:shd w:val="clear" w:color="auto" w:fill="FFFFFF"/>
        </w:rPr>
        <w:t>i</w:t>
      </w:r>
      <w:r w:rsidR="004329B4">
        <w:rPr>
          <w:rFonts w:ascii="Arial" w:hAnsi="Arial" w:cs="Arial"/>
          <w:bCs/>
          <w:shd w:val="clear" w:color="auto" w:fill="FFFFFF"/>
        </w:rPr>
        <w:t xml:space="preserve"> gonad wymaga wyboru testów o największej precyzji, unikania testów dających zarówno fałszywie dodatnie jak</w:t>
      </w:r>
      <w:r w:rsidR="004B1B87">
        <w:rPr>
          <w:rFonts w:ascii="Arial" w:hAnsi="Arial" w:cs="Arial"/>
          <w:bCs/>
          <w:shd w:val="clear" w:color="auto" w:fill="FFFFFF"/>
        </w:rPr>
        <w:t xml:space="preserve"> i fałszywie ujemne wyniki, </w:t>
      </w:r>
      <w:r w:rsidR="00D02D8D">
        <w:rPr>
          <w:rFonts w:ascii="Arial" w:hAnsi="Arial" w:cs="Arial"/>
          <w:bCs/>
          <w:shd w:val="clear" w:color="auto" w:fill="FFFFFF"/>
        </w:rPr>
        <w:t xml:space="preserve">znajomości </w:t>
      </w:r>
      <w:r w:rsidR="004B1B87">
        <w:rPr>
          <w:rFonts w:ascii="Arial" w:hAnsi="Arial" w:cs="Arial"/>
          <w:bCs/>
          <w:shd w:val="clear" w:color="auto" w:fill="FFFFFF"/>
        </w:rPr>
        <w:t xml:space="preserve">testów i </w:t>
      </w:r>
      <w:r w:rsidR="00271E6A">
        <w:rPr>
          <w:rFonts w:ascii="Arial" w:hAnsi="Arial" w:cs="Arial"/>
          <w:bCs/>
          <w:shd w:val="clear" w:color="auto" w:fill="FFFFFF"/>
        </w:rPr>
        <w:t xml:space="preserve">warunków </w:t>
      </w:r>
      <w:r w:rsidR="004B1B87">
        <w:rPr>
          <w:rFonts w:ascii="Arial" w:hAnsi="Arial" w:cs="Arial"/>
          <w:bCs/>
          <w:shd w:val="clear" w:color="auto" w:fill="FFFFFF"/>
        </w:rPr>
        <w:t xml:space="preserve"> </w:t>
      </w:r>
      <w:r w:rsidR="009A634E">
        <w:rPr>
          <w:rFonts w:ascii="Arial" w:hAnsi="Arial" w:cs="Arial"/>
          <w:bCs/>
          <w:shd w:val="clear" w:color="auto" w:fill="FFFFFF"/>
        </w:rPr>
        <w:t xml:space="preserve">klinicznych </w:t>
      </w:r>
      <w:r w:rsidR="00271E6A">
        <w:rPr>
          <w:rFonts w:ascii="Arial" w:hAnsi="Arial" w:cs="Arial"/>
          <w:bCs/>
          <w:shd w:val="clear" w:color="auto" w:fill="FFFFFF"/>
        </w:rPr>
        <w:t xml:space="preserve">w jakich badanie zostało wykonane.  </w:t>
      </w:r>
      <w:r w:rsidR="00271E6A" w:rsidRPr="00271E6A">
        <w:rPr>
          <w:rFonts w:ascii="Arial" w:hAnsi="Arial" w:cs="Arial"/>
        </w:rPr>
        <w:t xml:space="preserve">W przedstawionych publikacjach </w:t>
      </w:r>
      <w:r w:rsidR="00BA478F" w:rsidRPr="00271E6A">
        <w:rPr>
          <w:rFonts w:ascii="Arial" w:hAnsi="Arial" w:cs="Arial"/>
        </w:rPr>
        <w:t>zbada</w:t>
      </w:r>
      <w:r w:rsidR="005D392F">
        <w:rPr>
          <w:rFonts w:ascii="Arial" w:hAnsi="Arial" w:cs="Arial"/>
        </w:rPr>
        <w:t>no</w:t>
      </w:r>
      <w:r w:rsidR="00BA478F" w:rsidRPr="00271E6A">
        <w:rPr>
          <w:rFonts w:ascii="Arial" w:hAnsi="Arial" w:cs="Arial"/>
        </w:rPr>
        <w:t xml:space="preserve"> </w:t>
      </w:r>
      <w:r w:rsidR="00BA478F">
        <w:rPr>
          <w:rFonts w:ascii="Arial" w:hAnsi="Arial" w:cs="Arial"/>
        </w:rPr>
        <w:t xml:space="preserve">i </w:t>
      </w:r>
      <w:r w:rsidR="00271E6A" w:rsidRPr="00271E6A">
        <w:rPr>
          <w:rFonts w:ascii="Arial" w:hAnsi="Arial" w:cs="Arial"/>
        </w:rPr>
        <w:t>przeanalizowa</w:t>
      </w:r>
      <w:r w:rsidR="005D392F">
        <w:rPr>
          <w:rFonts w:ascii="Arial" w:hAnsi="Arial" w:cs="Arial"/>
        </w:rPr>
        <w:t>no</w:t>
      </w:r>
      <w:r w:rsidR="00271E6A" w:rsidRPr="00271E6A">
        <w:rPr>
          <w:rFonts w:ascii="Arial" w:hAnsi="Arial" w:cs="Arial"/>
        </w:rPr>
        <w:t xml:space="preserve"> nowe aspekty dotyczące diagnostyki </w:t>
      </w:r>
      <w:r w:rsidR="00271E6A">
        <w:rPr>
          <w:rFonts w:ascii="Arial" w:hAnsi="Arial" w:cs="Arial"/>
        </w:rPr>
        <w:t>hormonalnej</w:t>
      </w:r>
      <w:r w:rsidR="005D392F">
        <w:rPr>
          <w:rFonts w:ascii="Arial" w:hAnsi="Arial" w:cs="Arial"/>
        </w:rPr>
        <w:t xml:space="preserve"> i biochemicznej</w:t>
      </w:r>
      <w:r w:rsidR="00271E6A">
        <w:rPr>
          <w:rFonts w:ascii="Arial" w:hAnsi="Arial" w:cs="Arial"/>
        </w:rPr>
        <w:t xml:space="preserve"> chorób nadnerczy i gonad. </w:t>
      </w:r>
      <w:r w:rsidRPr="00271E6A">
        <w:rPr>
          <w:rFonts w:ascii="Arial" w:hAnsi="Arial" w:cs="Arial"/>
          <w:bCs/>
          <w:shd w:val="clear" w:color="auto" w:fill="FFFFFF"/>
        </w:rPr>
        <w:t>Na</w:t>
      </w:r>
      <w:r w:rsidRPr="00271E6A">
        <w:rPr>
          <w:rFonts w:ascii="Arial" w:hAnsi="Arial" w:cs="Arial"/>
          <w:b/>
          <w:bCs/>
          <w:shd w:val="clear" w:color="auto" w:fill="FFFFFF"/>
        </w:rPr>
        <w:t xml:space="preserve"> </w:t>
      </w:r>
      <w:r w:rsidRPr="00271E6A">
        <w:rPr>
          <w:rFonts w:ascii="Arial" w:hAnsi="Arial" w:cs="Arial"/>
          <w:bCs/>
          <w:shd w:val="clear" w:color="auto" w:fill="FFFFFF"/>
        </w:rPr>
        <w:t>podstawie pr</w:t>
      </w:r>
      <w:r w:rsidR="00BA478F">
        <w:rPr>
          <w:rFonts w:ascii="Arial" w:hAnsi="Arial" w:cs="Arial"/>
          <w:bCs/>
          <w:shd w:val="clear" w:color="auto" w:fill="FFFFFF"/>
        </w:rPr>
        <w:t>zeprowadzonych badań wyciągnęłam</w:t>
      </w:r>
      <w:r w:rsidRPr="00271E6A">
        <w:rPr>
          <w:rFonts w:ascii="Arial" w:hAnsi="Arial" w:cs="Arial"/>
          <w:bCs/>
          <w:shd w:val="clear" w:color="auto" w:fill="FFFFFF"/>
        </w:rPr>
        <w:t xml:space="preserve"> następujące wnioski</w:t>
      </w:r>
      <w:r w:rsidRPr="00271E6A">
        <w:rPr>
          <w:rFonts w:ascii="Arial" w:hAnsi="Arial" w:cs="Arial"/>
          <w:b/>
          <w:bCs/>
          <w:shd w:val="clear" w:color="auto" w:fill="FFFFFF"/>
        </w:rPr>
        <w:t>:</w:t>
      </w:r>
    </w:p>
    <w:p w:rsidR="005D392F" w:rsidRPr="00363E94" w:rsidRDefault="005D392F" w:rsidP="005D392F">
      <w:pPr>
        <w:pStyle w:val="Akapitzlist"/>
        <w:numPr>
          <w:ilvl w:val="0"/>
          <w:numId w:val="14"/>
        </w:numPr>
        <w:spacing w:line="360" w:lineRule="auto"/>
        <w:jc w:val="both"/>
        <w:rPr>
          <w:rFonts w:ascii="Arial" w:hAnsi="Arial" w:cs="Arial"/>
          <w:bCs/>
          <w:shd w:val="clear" w:color="auto" w:fill="FFFFFF"/>
        </w:rPr>
      </w:pPr>
      <w:r>
        <w:rPr>
          <w:rFonts w:ascii="Arial" w:hAnsi="Arial" w:cs="Arial"/>
          <w:bCs/>
          <w:shd w:val="clear" w:color="auto" w:fill="FFFFFF"/>
        </w:rPr>
        <w:t>o</w:t>
      </w:r>
      <w:r w:rsidRPr="00271E6A">
        <w:rPr>
          <w:rFonts w:ascii="Arial" w:hAnsi="Arial" w:cs="Arial"/>
          <w:bCs/>
          <w:shd w:val="clear" w:color="auto" w:fill="FFFFFF"/>
        </w:rPr>
        <w:t xml:space="preserve">cena stężenia kortyzolu w ślinie </w:t>
      </w:r>
      <w:r w:rsidRPr="00271E6A">
        <w:rPr>
          <w:rFonts w:ascii="Arial" w:hAnsi="Arial" w:cs="Arial"/>
        </w:rPr>
        <w:t xml:space="preserve">jest dobrym narzędziem diagnostycznym </w:t>
      </w:r>
      <w:r>
        <w:rPr>
          <w:rFonts w:ascii="Arial" w:hAnsi="Arial" w:cs="Arial"/>
        </w:rPr>
        <w:t xml:space="preserve">do wykluczenia zaburzeń </w:t>
      </w:r>
      <w:r w:rsidRPr="00271E6A">
        <w:rPr>
          <w:rFonts w:ascii="Arial" w:hAnsi="Arial" w:cs="Arial"/>
        </w:rPr>
        <w:t>wydzielania</w:t>
      </w:r>
      <w:r>
        <w:rPr>
          <w:rFonts w:ascii="Arial" w:hAnsi="Arial" w:cs="Arial"/>
        </w:rPr>
        <w:t xml:space="preserve"> kortyzolu u kobiet w ciąży i w trakcie stosowania doustnej tabletki</w:t>
      </w:r>
      <w:r w:rsidRPr="00271E6A">
        <w:rPr>
          <w:rFonts w:ascii="Arial" w:hAnsi="Arial" w:cs="Arial"/>
        </w:rPr>
        <w:t xml:space="preserve"> antykoncepcyjnej </w:t>
      </w:r>
    </w:p>
    <w:p w:rsidR="005D392F" w:rsidRPr="00271E6A" w:rsidRDefault="005D392F" w:rsidP="005D392F">
      <w:pPr>
        <w:pStyle w:val="Akapitzlist"/>
        <w:numPr>
          <w:ilvl w:val="0"/>
          <w:numId w:val="14"/>
        </w:numPr>
        <w:spacing w:line="360" w:lineRule="auto"/>
        <w:jc w:val="both"/>
        <w:rPr>
          <w:rFonts w:ascii="Arial" w:hAnsi="Arial" w:cs="Arial"/>
          <w:bCs/>
          <w:shd w:val="clear" w:color="auto" w:fill="FFFFFF"/>
        </w:rPr>
      </w:pPr>
      <w:r>
        <w:rPr>
          <w:rFonts w:ascii="Arial" w:hAnsi="Arial" w:cs="Arial"/>
        </w:rPr>
        <w:t>normy kortyzolu w ślinie ustalone dla kobiet zdrowych mogą być wykorzystywane także w ciąży oraz u kobiet w trakcie doustnej tabletki antykoncepcyjnej</w:t>
      </w:r>
    </w:p>
    <w:p w:rsidR="00761470" w:rsidRPr="00761470" w:rsidRDefault="002D6391" w:rsidP="00761470">
      <w:pPr>
        <w:pStyle w:val="Akapitzlist"/>
        <w:numPr>
          <w:ilvl w:val="0"/>
          <w:numId w:val="13"/>
        </w:numPr>
        <w:spacing w:line="360" w:lineRule="auto"/>
        <w:rPr>
          <w:rFonts w:ascii="Arial" w:hAnsi="Arial" w:cs="Arial"/>
          <w:bCs/>
          <w:shd w:val="clear" w:color="auto" w:fill="FFFFFF"/>
        </w:rPr>
      </w:pPr>
      <w:r>
        <w:rPr>
          <w:rFonts w:ascii="Arial" w:hAnsi="Arial" w:cs="Arial"/>
        </w:rPr>
        <w:t>o</w:t>
      </w:r>
      <w:r w:rsidR="00583766">
        <w:rPr>
          <w:rFonts w:ascii="Arial" w:hAnsi="Arial" w:cs="Arial"/>
        </w:rPr>
        <w:t>cena stężenia</w:t>
      </w:r>
      <w:r w:rsidR="00B26D12">
        <w:rPr>
          <w:rFonts w:ascii="Arial" w:hAnsi="Arial" w:cs="Arial"/>
        </w:rPr>
        <w:t xml:space="preserve"> </w:t>
      </w:r>
      <w:r w:rsidR="00BD24E3">
        <w:rPr>
          <w:rFonts w:ascii="Arial" w:hAnsi="Arial" w:cs="Arial"/>
        </w:rPr>
        <w:t xml:space="preserve">porannego </w:t>
      </w:r>
      <w:r w:rsidR="00B26D12">
        <w:rPr>
          <w:rFonts w:ascii="Arial" w:hAnsi="Arial" w:cs="Arial"/>
        </w:rPr>
        <w:t xml:space="preserve">kortyzolu </w:t>
      </w:r>
      <w:r w:rsidR="00AD1F5F">
        <w:rPr>
          <w:rFonts w:ascii="Arial" w:hAnsi="Arial" w:cs="Arial"/>
        </w:rPr>
        <w:t xml:space="preserve">w surowicy </w:t>
      </w:r>
      <w:r w:rsidR="00B26D12">
        <w:rPr>
          <w:rFonts w:ascii="Arial" w:hAnsi="Arial" w:cs="Arial"/>
        </w:rPr>
        <w:t>w</w:t>
      </w:r>
      <w:r w:rsidR="00BD24E3">
        <w:rPr>
          <w:rFonts w:ascii="Arial" w:hAnsi="Arial" w:cs="Arial"/>
        </w:rPr>
        <w:t xml:space="preserve"> ciąży wymaga specyficznych  norm dla poszczególnych trymestrów ciąży, co ustalono w  przeprowadzonej</w:t>
      </w:r>
      <w:r w:rsidR="00761470">
        <w:rPr>
          <w:rFonts w:ascii="Arial" w:hAnsi="Arial" w:cs="Arial"/>
        </w:rPr>
        <w:t xml:space="preserve"> analizie</w:t>
      </w:r>
    </w:p>
    <w:p w:rsidR="002D6391" w:rsidRPr="002D6391" w:rsidRDefault="002D6391" w:rsidP="00761470">
      <w:pPr>
        <w:pStyle w:val="Akapitzlist"/>
        <w:numPr>
          <w:ilvl w:val="0"/>
          <w:numId w:val="13"/>
        </w:numPr>
        <w:spacing w:line="360" w:lineRule="auto"/>
        <w:jc w:val="both"/>
        <w:rPr>
          <w:rFonts w:ascii="Arial" w:hAnsi="Arial" w:cs="Arial"/>
          <w:bCs/>
          <w:shd w:val="clear" w:color="auto" w:fill="FFFFFF"/>
        </w:rPr>
      </w:pPr>
      <w:r>
        <w:rPr>
          <w:rFonts w:ascii="Arial" w:hAnsi="Arial" w:cs="Arial"/>
        </w:rPr>
        <w:t>z</w:t>
      </w:r>
      <w:r w:rsidR="00761470">
        <w:rPr>
          <w:rFonts w:ascii="Arial" w:hAnsi="Arial" w:cs="Arial"/>
        </w:rPr>
        <w:t>astosowanie testu immunoenzymatycznego do oceny 17</w:t>
      </w:r>
      <w:r>
        <w:rPr>
          <w:rFonts w:ascii="Arial" w:hAnsi="Arial" w:cs="Arial"/>
        </w:rPr>
        <w:t>OHP</w:t>
      </w:r>
      <w:r w:rsidR="00761470">
        <w:rPr>
          <w:rFonts w:ascii="Arial" w:hAnsi="Arial" w:cs="Arial"/>
        </w:rPr>
        <w:t xml:space="preserve"> w diagnostyce przesiewowej w kierunku </w:t>
      </w:r>
      <w:r w:rsidR="00667076">
        <w:rPr>
          <w:rFonts w:ascii="Arial" w:hAnsi="Arial" w:cs="Arial"/>
        </w:rPr>
        <w:t xml:space="preserve">nieklasycznej postaci </w:t>
      </w:r>
      <w:r w:rsidR="00761470">
        <w:rPr>
          <w:rFonts w:ascii="Arial" w:hAnsi="Arial" w:cs="Arial"/>
        </w:rPr>
        <w:t xml:space="preserve">wrodzonego przerostu nadnerczy wiąże się często z </w:t>
      </w:r>
      <w:r w:rsidR="00583766">
        <w:rPr>
          <w:rFonts w:ascii="Arial" w:hAnsi="Arial" w:cs="Arial"/>
        </w:rPr>
        <w:t>uzyskiwaniem wyników fałszywie dodatnich</w:t>
      </w:r>
      <w:r>
        <w:rPr>
          <w:rFonts w:ascii="Arial" w:hAnsi="Arial" w:cs="Arial"/>
        </w:rPr>
        <w:t>.</w:t>
      </w:r>
    </w:p>
    <w:p w:rsidR="002D6391" w:rsidRPr="002D6391" w:rsidRDefault="002D6391" w:rsidP="00761470">
      <w:pPr>
        <w:pStyle w:val="Akapitzlist"/>
        <w:numPr>
          <w:ilvl w:val="0"/>
          <w:numId w:val="13"/>
        </w:numPr>
        <w:spacing w:line="360" w:lineRule="auto"/>
        <w:jc w:val="both"/>
        <w:rPr>
          <w:rFonts w:ascii="Arial" w:hAnsi="Arial" w:cs="Arial"/>
          <w:bCs/>
          <w:shd w:val="clear" w:color="auto" w:fill="FFFFFF"/>
        </w:rPr>
      </w:pPr>
      <w:r>
        <w:rPr>
          <w:rFonts w:ascii="Arial" w:hAnsi="Arial" w:cs="Arial"/>
        </w:rPr>
        <w:t xml:space="preserve">wybór testu immunoenzymatycznego o lepszej charakterystyce czułości, swoistości i precyzji może również pomóc w uniknięciu fałszywych rozpoznań </w:t>
      </w:r>
      <w:r w:rsidR="00667076">
        <w:rPr>
          <w:rFonts w:ascii="Arial" w:hAnsi="Arial" w:cs="Arial"/>
        </w:rPr>
        <w:t xml:space="preserve">nieklasycznej postaci </w:t>
      </w:r>
      <w:r>
        <w:rPr>
          <w:rFonts w:ascii="Arial" w:hAnsi="Arial" w:cs="Arial"/>
        </w:rPr>
        <w:t>wrodzonego przerostu nadnerczy</w:t>
      </w:r>
    </w:p>
    <w:p w:rsidR="00761470" w:rsidRPr="00761470" w:rsidRDefault="002D6391" w:rsidP="00761470">
      <w:pPr>
        <w:pStyle w:val="Akapitzlist"/>
        <w:numPr>
          <w:ilvl w:val="0"/>
          <w:numId w:val="13"/>
        </w:numPr>
        <w:spacing w:line="360" w:lineRule="auto"/>
        <w:jc w:val="both"/>
        <w:rPr>
          <w:rFonts w:ascii="Arial" w:hAnsi="Arial" w:cs="Arial"/>
          <w:bCs/>
          <w:shd w:val="clear" w:color="auto" w:fill="FFFFFF"/>
        </w:rPr>
      </w:pPr>
      <w:r>
        <w:rPr>
          <w:rFonts w:ascii="Arial" w:hAnsi="Arial" w:cs="Arial"/>
        </w:rPr>
        <w:t>n</w:t>
      </w:r>
      <w:r w:rsidR="00761470">
        <w:rPr>
          <w:rFonts w:ascii="Arial" w:hAnsi="Arial" w:cs="Arial"/>
        </w:rPr>
        <w:t xml:space="preserve">ajlepszą metodą </w:t>
      </w:r>
      <w:r>
        <w:rPr>
          <w:rFonts w:ascii="Arial" w:hAnsi="Arial" w:cs="Arial"/>
        </w:rPr>
        <w:t xml:space="preserve">oceny 17OHP </w:t>
      </w:r>
      <w:r w:rsidR="00761470">
        <w:rPr>
          <w:rFonts w:ascii="Arial" w:hAnsi="Arial" w:cs="Arial"/>
        </w:rPr>
        <w:t xml:space="preserve">charakteryzującą się </w:t>
      </w:r>
      <w:r w:rsidR="00DF662F">
        <w:rPr>
          <w:rFonts w:ascii="Arial" w:hAnsi="Arial" w:cs="Arial"/>
        </w:rPr>
        <w:t>najwyższą</w:t>
      </w:r>
      <w:r w:rsidR="00761470">
        <w:rPr>
          <w:rFonts w:ascii="Arial" w:hAnsi="Arial" w:cs="Arial"/>
        </w:rPr>
        <w:t xml:space="preserve"> precyzją jest analiza przeprowadzona metodą </w:t>
      </w:r>
      <w:proofErr w:type="spellStart"/>
      <w:r w:rsidR="00761470">
        <w:rPr>
          <w:rFonts w:ascii="Arial" w:hAnsi="Arial" w:cs="Arial"/>
        </w:rPr>
        <w:t>LC-MS</w:t>
      </w:r>
      <w:proofErr w:type="spellEnd"/>
      <w:r w:rsidR="00761470">
        <w:rPr>
          <w:rFonts w:ascii="Arial" w:hAnsi="Arial" w:cs="Arial"/>
        </w:rPr>
        <w:t>/MS</w:t>
      </w:r>
    </w:p>
    <w:p w:rsidR="0030664C" w:rsidRDefault="002D6391" w:rsidP="00761470">
      <w:pPr>
        <w:pStyle w:val="Akapitzlist"/>
        <w:numPr>
          <w:ilvl w:val="0"/>
          <w:numId w:val="13"/>
        </w:numPr>
        <w:spacing w:line="360" w:lineRule="auto"/>
        <w:jc w:val="both"/>
        <w:rPr>
          <w:rFonts w:ascii="Arial" w:hAnsi="Arial" w:cs="Arial"/>
          <w:bCs/>
          <w:shd w:val="clear" w:color="auto" w:fill="FFFFFF"/>
        </w:rPr>
      </w:pPr>
      <w:r>
        <w:rPr>
          <w:rFonts w:ascii="Arial" w:hAnsi="Arial" w:cs="Arial"/>
          <w:bCs/>
          <w:shd w:val="clear" w:color="auto" w:fill="FFFFFF"/>
        </w:rPr>
        <w:t>o</w:t>
      </w:r>
      <w:r w:rsidR="00F550F2">
        <w:rPr>
          <w:rFonts w:ascii="Arial" w:hAnsi="Arial" w:cs="Arial"/>
          <w:bCs/>
          <w:shd w:val="clear" w:color="auto" w:fill="FFFFFF"/>
        </w:rPr>
        <w:t xml:space="preserve">cena stężenia testosteronu w ślinie nie jest przydatna w ocenie przesiewowej </w:t>
      </w:r>
      <w:r w:rsidR="00D02D8D">
        <w:rPr>
          <w:rFonts w:ascii="Arial" w:hAnsi="Arial" w:cs="Arial"/>
          <w:bCs/>
          <w:shd w:val="clear" w:color="auto" w:fill="FFFFFF"/>
        </w:rPr>
        <w:t xml:space="preserve">łagodnego </w:t>
      </w:r>
      <w:proofErr w:type="spellStart"/>
      <w:r>
        <w:rPr>
          <w:rFonts w:ascii="Arial" w:hAnsi="Arial" w:cs="Arial"/>
          <w:bCs/>
          <w:shd w:val="clear" w:color="auto" w:fill="FFFFFF"/>
        </w:rPr>
        <w:t>hiperandrogenizmu</w:t>
      </w:r>
      <w:proofErr w:type="spellEnd"/>
    </w:p>
    <w:p w:rsidR="00F1137D" w:rsidRDefault="002D6391" w:rsidP="00761470">
      <w:pPr>
        <w:pStyle w:val="Akapitzlist"/>
        <w:numPr>
          <w:ilvl w:val="0"/>
          <w:numId w:val="13"/>
        </w:numPr>
        <w:spacing w:line="360" w:lineRule="auto"/>
        <w:jc w:val="both"/>
        <w:rPr>
          <w:rFonts w:ascii="Arial" w:hAnsi="Arial" w:cs="Arial"/>
          <w:bCs/>
          <w:shd w:val="clear" w:color="auto" w:fill="FFFFFF"/>
        </w:rPr>
      </w:pPr>
      <w:r>
        <w:rPr>
          <w:rFonts w:ascii="Arial" w:hAnsi="Arial" w:cs="Arial"/>
          <w:bCs/>
          <w:shd w:val="clear" w:color="auto" w:fill="FFFFFF"/>
        </w:rPr>
        <w:t>o</w:t>
      </w:r>
      <w:r w:rsidR="00F1137D">
        <w:rPr>
          <w:rFonts w:ascii="Arial" w:hAnsi="Arial" w:cs="Arial"/>
          <w:bCs/>
          <w:shd w:val="clear" w:color="auto" w:fill="FFFFFF"/>
        </w:rPr>
        <w:t xml:space="preserve">cena stężenia </w:t>
      </w:r>
      <w:r w:rsidR="00F550F2">
        <w:rPr>
          <w:rFonts w:ascii="Arial" w:hAnsi="Arial" w:cs="Arial"/>
          <w:bCs/>
          <w:shd w:val="clear" w:color="auto" w:fill="FFFFFF"/>
        </w:rPr>
        <w:t xml:space="preserve"> </w:t>
      </w:r>
      <w:proofErr w:type="spellStart"/>
      <w:r w:rsidR="00F1137D">
        <w:rPr>
          <w:rFonts w:ascii="Arial" w:hAnsi="Arial" w:cs="Arial"/>
          <w:bCs/>
          <w:shd w:val="clear" w:color="auto" w:fill="FFFFFF"/>
        </w:rPr>
        <w:t>androstendionu</w:t>
      </w:r>
      <w:proofErr w:type="spellEnd"/>
      <w:r w:rsidR="00F1137D">
        <w:rPr>
          <w:rFonts w:ascii="Arial" w:hAnsi="Arial" w:cs="Arial"/>
          <w:bCs/>
          <w:shd w:val="clear" w:color="auto" w:fill="FFFFFF"/>
        </w:rPr>
        <w:t xml:space="preserve"> </w:t>
      </w:r>
      <w:r w:rsidR="00F550F2">
        <w:rPr>
          <w:rFonts w:ascii="Arial" w:hAnsi="Arial" w:cs="Arial"/>
          <w:bCs/>
          <w:shd w:val="clear" w:color="auto" w:fill="FFFFFF"/>
        </w:rPr>
        <w:t xml:space="preserve">w surowicy </w:t>
      </w:r>
      <w:r w:rsidR="00F1137D">
        <w:rPr>
          <w:rFonts w:ascii="Arial" w:hAnsi="Arial" w:cs="Arial"/>
          <w:bCs/>
          <w:shd w:val="clear" w:color="auto" w:fill="FFFFFF"/>
        </w:rPr>
        <w:t xml:space="preserve">nie jest pomocna w diagnostyce </w:t>
      </w:r>
      <w:r w:rsidR="0014638C">
        <w:rPr>
          <w:rFonts w:ascii="Arial" w:hAnsi="Arial" w:cs="Arial"/>
          <w:bCs/>
          <w:shd w:val="clear" w:color="auto" w:fill="FFFFFF"/>
        </w:rPr>
        <w:t xml:space="preserve">przesiewowej </w:t>
      </w:r>
      <w:proofErr w:type="spellStart"/>
      <w:r w:rsidR="00F1137D">
        <w:rPr>
          <w:rFonts w:ascii="Arial" w:hAnsi="Arial" w:cs="Arial"/>
          <w:bCs/>
          <w:shd w:val="clear" w:color="auto" w:fill="FFFFFF"/>
        </w:rPr>
        <w:t>hiperandrogenizmu</w:t>
      </w:r>
      <w:proofErr w:type="spellEnd"/>
      <w:r w:rsidR="00F1137D">
        <w:rPr>
          <w:rFonts w:ascii="Arial" w:hAnsi="Arial" w:cs="Arial"/>
          <w:bCs/>
          <w:shd w:val="clear" w:color="auto" w:fill="FFFFFF"/>
        </w:rPr>
        <w:t xml:space="preserve">, po wykonaniu oznaczeń testosteronu i siarczanu </w:t>
      </w:r>
      <w:proofErr w:type="spellStart"/>
      <w:r w:rsidR="00F1137D">
        <w:rPr>
          <w:rFonts w:ascii="Arial" w:hAnsi="Arial" w:cs="Arial"/>
          <w:bCs/>
          <w:shd w:val="clear" w:color="auto" w:fill="FFFFFF"/>
        </w:rPr>
        <w:t>dehydroepiandrosteronu</w:t>
      </w:r>
      <w:proofErr w:type="spellEnd"/>
    </w:p>
    <w:p w:rsidR="00B26D12" w:rsidRPr="0030664C" w:rsidRDefault="002D6391" w:rsidP="008F485B">
      <w:pPr>
        <w:pStyle w:val="Akapitzlist"/>
        <w:numPr>
          <w:ilvl w:val="0"/>
          <w:numId w:val="13"/>
        </w:numPr>
        <w:spacing w:line="360" w:lineRule="auto"/>
        <w:jc w:val="both"/>
        <w:rPr>
          <w:rFonts w:ascii="Arial" w:hAnsi="Arial" w:cs="Arial"/>
          <w:b/>
          <w:bCs/>
          <w:shd w:val="clear" w:color="auto" w:fill="FFFFFF"/>
        </w:rPr>
      </w:pPr>
      <w:r>
        <w:rPr>
          <w:rFonts w:ascii="Arial" w:hAnsi="Arial" w:cs="Arial"/>
          <w:bCs/>
          <w:shd w:val="clear" w:color="auto" w:fill="FFFFFF"/>
        </w:rPr>
        <w:t>o</w:t>
      </w:r>
      <w:r w:rsidR="0030664C" w:rsidRPr="0030664C">
        <w:rPr>
          <w:rFonts w:ascii="Arial" w:hAnsi="Arial" w:cs="Arial"/>
          <w:bCs/>
          <w:shd w:val="clear" w:color="auto" w:fill="FFFFFF"/>
        </w:rPr>
        <w:t>cena st</w:t>
      </w:r>
      <w:r w:rsidR="0014638C" w:rsidRPr="0030664C">
        <w:rPr>
          <w:rFonts w:ascii="Arial" w:hAnsi="Arial" w:cs="Arial"/>
          <w:shd w:val="clear" w:color="auto" w:fill="FFFFFF"/>
        </w:rPr>
        <w:t>ęże</w:t>
      </w:r>
      <w:r w:rsidR="0030664C" w:rsidRPr="0030664C">
        <w:rPr>
          <w:rFonts w:ascii="Arial" w:hAnsi="Arial" w:cs="Arial"/>
          <w:shd w:val="clear" w:color="auto" w:fill="FFFFFF"/>
        </w:rPr>
        <w:t xml:space="preserve">nia </w:t>
      </w:r>
      <w:proofErr w:type="spellStart"/>
      <w:r w:rsidR="0030664C" w:rsidRPr="0030664C">
        <w:rPr>
          <w:rFonts w:ascii="Arial" w:hAnsi="Arial" w:cs="Arial"/>
          <w:shd w:val="clear" w:color="auto" w:fill="FFFFFF"/>
        </w:rPr>
        <w:t>chromograniny</w:t>
      </w:r>
      <w:proofErr w:type="spellEnd"/>
      <w:r w:rsidR="0030664C" w:rsidRPr="0030664C">
        <w:rPr>
          <w:rFonts w:ascii="Arial" w:hAnsi="Arial" w:cs="Arial"/>
          <w:shd w:val="clear" w:color="auto" w:fill="FFFFFF"/>
        </w:rPr>
        <w:t xml:space="preserve"> A jest pomocna w diagnostyce guzów nadnerczy o dużej gęstości w badaniu tomografii</w:t>
      </w:r>
      <w:r w:rsidR="0030664C">
        <w:rPr>
          <w:rFonts w:ascii="Arial" w:hAnsi="Arial" w:cs="Arial"/>
          <w:shd w:val="clear" w:color="auto" w:fill="FFFFFF"/>
        </w:rPr>
        <w:t xml:space="preserve"> komputerowej.</w:t>
      </w:r>
      <w:r w:rsidR="0030664C" w:rsidRPr="0030664C">
        <w:rPr>
          <w:rFonts w:ascii="Arial" w:hAnsi="Arial" w:cs="Arial"/>
          <w:shd w:val="clear" w:color="auto" w:fill="FFFFFF"/>
        </w:rPr>
        <w:t xml:space="preserve"> </w:t>
      </w:r>
    </w:p>
    <w:p w:rsidR="00EB71BB" w:rsidRDefault="00EB71BB" w:rsidP="00EB71BB">
      <w:pPr>
        <w:spacing w:line="360" w:lineRule="auto"/>
        <w:rPr>
          <w:rFonts w:cs="Arial"/>
          <w:color w:val="000000"/>
          <w:sz w:val="24"/>
          <w:szCs w:val="24"/>
        </w:rPr>
      </w:pPr>
    </w:p>
    <w:p w:rsidR="00EB71BB" w:rsidRPr="00EB71BB" w:rsidRDefault="00EB71BB" w:rsidP="00EB71BB">
      <w:pPr>
        <w:spacing w:line="360" w:lineRule="auto"/>
        <w:rPr>
          <w:rFonts w:ascii="Arial" w:hAnsi="Arial" w:cs="Arial"/>
          <w:color w:val="000000"/>
        </w:rPr>
      </w:pPr>
      <w:r w:rsidRPr="00EB71BB">
        <w:rPr>
          <w:rFonts w:ascii="Arial" w:hAnsi="Arial" w:cs="Arial"/>
          <w:b/>
          <w:color w:val="000000"/>
        </w:rPr>
        <w:lastRenderedPageBreak/>
        <w:t>5</w:t>
      </w:r>
      <w:r>
        <w:rPr>
          <w:rFonts w:ascii="Arial" w:hAnsi="Arial" w:cs="Arial"/>
          <w:b/>
          <w:color w:val="000000"/>
        </w:rPr>
        <w:t>)</w:t>
      </w:r>
      <w:r w:rsidRPr="00EB71BB">
        <w:rPr>
          <w:rFonts w:ascii="Arial" w:hAnsi="Arial" w:cs="Arial"/>
          <w:b/>
          <w:color w:val="000000"/>
        </w:rPr>
        <w:t>. Omówienie pozostałych osiągnięć naukowo – badawczych</w:t>
      </w:r>
    </w:p>
    <w:p w:rsidR="008F485B" w:rsidRPr="007C552D" w:rsidRDefault="008B2B9B" w:rsidP="007C552D">
      <w:pPr>
        <w:spacing w:line="360" w:lineRule="auto"/>
        <w:ind w:firstLine="708"/>
        <w:jc w:val="both"/>
        <w:rPr>
          <w:rFonts w:ascii="Arial" w:hAnsi="Arial" w:cs="Arial"/>
          <w:bCs/>
          <w:shd w:val="clear" w:color="auto" w:fill="FFFFFF"/>
        </w:rPr>
      </w:pPr>
      <w:r w:rsidRPr="008B2B9B">
        <w:rPr>
          <w:rFonts w:ascii="Arial" w:hAnsi="Arial" w:cs="Arial"/>
          <w:bCs/>
          <w:shd w:val="clear" w:color="auto" w:fill="FFFFFF"/>
        </w:rPr>
        <w:t xml:space="preserve">W początkowym okresie pracy zawodowej moje zainteresowania naukowe koncentrowałam na  </w:t>
      </w:r>
      <w:r>
        <w:rPr>
          <w:rFonts w:ascii="Arial" w:hAnsi="Arial" w:cs="Arial"/>
          <w:bCs/>
          <w:shd w:val="clear" w:color="auto" w:fill="FFFFFF"/>
        </w:rPr>
        <w:t>zaburzeniach czynności tarczycy, leczeniu choroby Gravesa- Basedowa (MGB), prognozowaniu remisji choroby i etiologii M</w:t>
      </w:r>
      <w:r w:rsidR="00AA2E55">
        <w:rPr>
          <w:rFonts w:ascii="Arial" w:hAnsi="Arial" w:cs="Arial"/>
          <w:bCs/>
          <w:shd w:val="clear" w:color="auto" w:fill="FFFFFF"/>
        </w:rPr>
        <w:t>GB.</w:t>
      </w:r>
      <w:r w:rsidR="00DE7DF8">
        <w:rPr>
          <w:rFonts w:ascii="Arial" w:hAnsi="Arial" w:cs="Arial"/>
          <w:bCs/>
          <w:shd w:val="clear" w:color="auto" w:fill="FFFFFF"/>
        </w:rPr>
        <w:t xml:space="preserve"> </w:t>
      </w:r>
      <w:r w:rsidR="00F12DD3">
        <w:rPr>
          <w:rFonts w:ascii="Arial" w:hAnsi="Arial" w:cs="Arial"/>
          <w:bCs/>
          <w:shd w:val="clear" w:color="auto" w:fill="FFFFFF"/>
        </w:rPr>
        <w:t>Efektem były p</w:t>
      </w:r>
      <w:r w:rsidR="00C81F37">
        <w:rPr>
          <w:rFonts w:ascii="Arial" w:hAnsi="Arial" w:cs="Arial"/>
          <w:bCs/>
          <w:shd w:val="clear" w:color="auto" w:fill="FFFFFF"/>
        </w:rPr>
        <w:t>rzedstawione poniżej publikacje na podstawie których wyciągnięto następujące wnioski:</w:t>
      </w:r>
    </w:p>
    <w:p w:rsidR="002A2E8E" w:rsidRPr="00B979FE" w:rsidRDefault="002A2E8E" w:rsidP="002A2E8E">
      <w:pPr>
        <w:pStyle w:val="Akapitzlist"/>
        <w:numPr>
          <w:ilvl w:val="0"/>
          <w:numId w:val="19"/>
        </w:numPr>
        <w:spacing w:line="360" w:lineRule="auto"/>
        <w:ind w:left="709" w:hanging="357"/>
        <w:jc w:val="both"/>
        <w:rPr>
          <w:rFonts w:ascii="Arial" w:hAnsi="Arial" w:cs="Arial"/>
          <w:color w:val="000000"/>
          <w:shd w:val="clear" w:color="auto" w:fill="FFFFFF"/>
        </w:rPr>
      </w:pPr>
      <w:proofErr w:type="spellStart"/>
      <w:r>
        <w:rPr>
          <w:rFonts w:ascii="Arial" w:hAnsi="Arial" w:cs="Arial"/>
          <w:color w:val="000000"/>
          <w:shd w:val="clear" w:color="auto" w:fill="FFFFFF"/>
        </w:rPr>
        <w:t>p</w:t>
      </w:r>
      <w:r w:rsidRPr="00C81F37">
        <w:rPr>
          <w:rFonts w:ascii="Arial" w:hAnsi="Arial" w:cs="Arial"/>
          <w:color w:val="000000"/>
          <w:shd w:val="clear" w:color="auto" w:fill="FFFFFF"/>
        </w:rPr>
        <w:t>olimorfizmy</w:t>
      </w:r>
      <w:proofErr w:type="spellEnd"/>
      <w:r w:rsidRPr="00C81F37">
        <w:rPr>
          <w:rFonts w:ascii="Arial" w:hAnsi="Arial" w:cs="Arial"/>
          <w:color w:val="000000"/>
          <w:shd w:val="clear" w:color="auto" w:fill="FFFFFF"/>
        </w:rPr>
        <w:t xml:space="preserve"> genu IL-13 w pozycjach 1112 (C--&gt;T) i 2044 (G--&gt;A) nie są związane z predyspozycją do rozwoju MGB, </w:t>
      </w:r>
      <w:proofErr w:type="spellStart"/>
      <w:r w:rsidRPr="00C81F37">
        <w:rPr>
          <w:rFonts w:ascii="Arial" w:hAnsi="Arial" w:cs="Arial"/>
          <w:color w:val="000000"/>
          <w:shd w:val="clear" w:color="auto" w:fill="FFFFFF"/>
        </w:rPr>
        <w:t>orbitopatii</w:t>
      </w:r>
      <w:proofErr w:type="spellEnd"/>
      <w:r w:rsidRPr="00C81F37">
        <w:rPr>
          <w:rFonts w:ascii="Arial" w:hAnsi="Arial" w:cs="Arial"/>
          <w:color w:val="000000"/>
          <w:shd w:val="clear" w:color="auto" w:fill="FFFFFF"/>
        </w:rPr>
        <w:t xml:space="preserve"> tarczycowej oraz ciężkością nadczynności tarczycy</w:t>
      </w:r>
      <w:r>
        <w:rPr>
          <w:rFonts w:ascii="Arial" w:hAnsi="Arial" w:cs="Arial"/>
          <w:color w:val="000000"/>
          <w:shd w:val="clear" w:color="auto" w:fill="FFFFFF"/>
        </w:rPr>
        <w:t xml:space="preserve"> w przebiegu MGB</w:t>
      </w:r>
      <w:r w:rsidRPr="00C81F37">
        <w:rPr>
          <w:rFonts w:ascii="Arial" w:hAnsi="Arial" w:cs="Arial"/>
          <w:color w:val="000000"/>
          <w:shd w:val="clear" w:color="auto" w:fill="FFFFFF"/>
        </w:rPr>
        <w:t xml:space="preserve">   </w:t>
      </w:r>
    </w:p>
    <w:p w:rsidR="00C81F37" w:rsidRPr="002A2E8E" w:rsidRDefault="00B979FE" w:rsidP="002A2E8E">
      <w:pPr>
        <w:pStyle w:val="Akapitzlist"/>
        <w:numPr>
          <w:ilvl w:val="0"/>
          <w:numId w:val="19"/>
        </w:numPr>
        <w:spacing w:line="360" w:lineRule="auto"/>
        <w:ind w:left="709"/>
        <w:jc w:val="both"/>
        <w:rPr>
          <w:rFonts w:ascii="Arial" w:hAnsi="Arial" w:cs="Arial"/>
          <w:bCs/>
          <w:shd w:val="clear" w:color="auto" w:fill="FFFFFF"/>
        </w:rPr>
      </w:pPr>
      <w:r w:rsidRPr="002A2E8E">
        <w:rPr>
          <w:rFonts w:ascii="Arial" w:hAnsi="Arial" w:cs="Arial"/>
          <w:bCs/>
          <w:shd w:val="clear" w:color="auto" w:fill="FFFFFF"/>
        </w:rPr>
        <w:t>s</w:t>
      </w:r>
      <w:r w:rsidR="00F42CAD" w:rsidRPr="002A2E8E">
        <w:rPr>
          <w:rFonts w:ascii="Arial" w:hAnsi="Arial" w:cs="Arial"/>
          <w:bCs/>
          <w:shd w:val="clear" w:color="auto" w:fill="FFFFFF"/>
        </w:rPr>
        <w:t>tężenie p</w:t>
      </w:r>
      <w:r w:rsidR="00C81F37" w:rsidRPr="002A2E8E">
        <w:rPr>
          <w:rFonts w:ascii="Arial" w:hAnsi="Arial" w:cs="Arial"/>
          <w:bCs/>
          <w:shd w:val="clear" w:color="auto" w:fill="FFFFFF"/>
        </w:rPr>
        <w:t>rzeciwciał TBII (</w:t>
      </w:r>
      <w:proofErr w:type="spellStart"/>
      <w:r w:rsidR="00C81F37" w:rsidRPr="002A2E8E">
        <w:rPr>
          <w:rFonts w:ascii="Arial" w:hAnsi="Arial" w:cs="Arial"/>
          <w:bCs/>
          <w:shd w:val="clear" w:color="auto" w:fill="FFFFFF"/>
        </w:rPr>
        <w:t>thyrotropin</w:t>
      </w:r>
      <w:proofErr w:type="spellEnd"/>
      <w:r w:rsidR="00C81F37" w:rsidRPr="002A2E8E">
        <w:rPr>
          <w:rFonts w:ascii="Arial" w:hAnsi="Arial" w:cs="Arial"/>
          <w:bCs/>
          <w:shd w:val="clear" w:color="auto" w:fill="FFFFFF"/>
        </w:rPr>
        <w:t xml:space="preserve"> </w:t>
      </w:r>
      <w:proofErr w:type="spellStart"/>
      <w:r w:rsidR="00C81F37" w:rsidRPr="002A2E8E">
        <w:rPr>
          <w:rFonts w:ascii="Arial" w:hAnsi="Arial" w:cs="Arial"/>
          <w:bCs/>
          <w:shd w:val="clear" w:color="auto" w:fill="FFFFFF"/>
        </w:rPr>
        <w:t>binding</w:t>
      </w:r>
      <w:proofErr w:type="spellEnd"/>
      <w:r w:rsidR="00C81F37" w:rsidRPr="002A2E8E">
        <w:rPr>
          <w:rFonts w:ascii="Arial" w:hAnsi="Arial" w:cs="Arial"/>
          <w:bCs/>
          <w:shd w:val="clear" w:color="auto" w:fill="FFFFFF"/>
        </w:rPr>
        <w:t xml:space="preserve"> inhibitory </w:t>
      </w:r>
      <w:proofErr w:type="spellStart"/>
      <w:r w:rsidR="00C81F37" w:rsidRPr="002A2E8E">
        <w:rPr>
          <w:rFonts w:ascii="Arial" w:hAnsi="Arial" w:cs="Arial"/>
          <w:bCs/>
          <w:shd w:val="clear" w:color="auto" w:fill="FFFFFF"/>
        </w:rPr>
        <w:t>immunoglobulins</w:t>
      </w:r>
      <w:proofErr w:type="spellEnd"/>
      <w:r w:rsidR="00C81F37" w:rsidRPr="002A2E8E">
        <w:rPr>
          <w:rFonts w:ascii="Arial" w:hAnsi="Arial" w:cs="Arial"/>
          <w:bCs/>
          <w:shd w:val="clear" w:color="auto" w:fill="FFFFFF"/>
        </w:rPr>
        <w:t>) dobrze koreluj</w:t>
      </w:r>
      <w:r w:rsidR="00F42CAD" w:rsidRPr="002A2E8E">
        <w:rPr>
          <w:rFonts w:ascii="Arial" w:hAnsi="Arial" w:cs="Arial"/>
          <w:bCs/>
          <w:shd w:val="clear" w:color="auto" w:fill="FFFFFF"/>
        </w:rPr>
        <w:t>e</w:t>
      </w:r>
      <w:r w:rsidR="00C81F37" w:rsidRPr="002A2E8E">
        <w:rPr>
          <w:rFonts w:ascii="Arial" w:hAnsi="Arial" w:cs="Arial"/>
          <w:bCs/>
          <w:shd w:val="clear" w:color="auto" w:fill="FFFFFF"/>
        </w:rPr>
        <w:t xml:space="preserve"> z przeciwciał</w:t>
      </w:r>
      <w:r w:rsidR="00963FF0" w:rsidRPr="002A2E8E">
        <w:rPr>
          <w:rFonts w:ascii="Arial" w:hAnsi="Arial" w:cs="Arial"/>
          <w:bCs/>
          <w:shd w:val="clear" w:color="auto" w:fill="FFFFFF"/>
        </w:rPr>
        <w:t>ami stymulują</w:t>
      </w:r>
      <w:r w:rsidR="00C81F37" w:rsidRPr="002A2E8E">
        <w:rPr>
          <w:rFonts w:ascii="Arial" w:hAnsi="Arial" w:cs="Arial"/>
          <w:bCs/>
          <w:shd w:val="clear" w:color="auto" w:fill="FFFFFF"/>
        </w:rPr>
        <w:t>cymi TSI (</w:t>
      </w:r>
      <w:proofErr w:type="spellStart"/>
      <w:r w:rsidR="00C81F37" w:rsidRPr="002A2E8E">
        <w:rPr>
          <w:rFonts w:ascii="Arial" w:hAnsi="Arial" w:cs="Arial"/>
          <w:bCs/>
          <w:shd w:val="clear" w:color="auto" w:fill="FFFFFF"/>
        </w:rPr>
        <w:t>thyroid</w:t>
      </w:r>
      <w:proofErr w:type="spellEnd"/>
      <w:r w:rsidR="00C81F37" w:rsidRPr="002A2E8E">
        <w:rPr>
          <w:rFonts w:ascii="Arial" w:hAnsi="Arial" w:cs="Arial"/>
          <w:bCs/>
          <w:shd w:val="clear" w:color="auto" w:fill="FFFFFF"/>
        </w:rPr>
        <w:t xml:space="preserve"> </w:t>
      </w:r>
      <w:proofErr w:type="spellStart"/>
      <w:r w:rsidR="00C81F37" w:rsidRPr="002A2E8E">
        <w:rPr>
          <w:rFonts w:ascii="Arial" w:hAnsi="Arial" w:cs="Arial"/>
          <w:bCs/>
          <w:shd w:val="clear" w:color="auto" w:fill="FFFFFF"/>
        </w:rPr>
        <w:t>stimulating</w:t>
      </w:r>
      <w:proofErr w:type="spellEnd"/>
      <w:r w:rsidR="00C81F37" w:rsidRPr="002A2E8E">
        <w:rPr>
          <w:rFonts w:ascii="Arial" w:hAnsi="Arial" w:cs="Arial"/>
          <w:bCs/>
          <w:shd w:val="clear" w:color="auto" w:fill="FFFFFF"/>
        </w:rPr>
        <w:t xml:space="preserve"> </w:t>
      </w:r>
      <w:proofErr w:type="spellStart"/>
      <w:r w:rsidR="00C81F37" w:rsidRPr="002A2E8E">
        <w:rPr>
          <w:rFonts w:ascii="Arial" w:hAnsi="Arial" w:cs="Arial"/>
          <w:bCs/>
          <w:shd w:val="clear" w:color="auto" w:fill="FFFFFF"/>
        </w:rPr>
        <w:t>immunoglobulins</w:t>
      </w:r>
      <w:proofErr w:type="spellEnd"/>
      <w:r w:rsidR="00C81F37" w:rsidRPr="002A2E8E">
        <w:rPr>
          <w:rFonts w:ascii="Arial" w:hAnsi="Arial" w:cs="Arial"/>
          <w:bCs/>
          <w:shd w:val="clear" w:color="auto" w:fill="FFFFFF"/>
        </w:rPr>
        <w:t>)</w:t>
      </w:r>
      <w:r w:rsidR="00F42CAD" w:rsidRPr="002A2E8E">
        <w:rPr>
          <w:rFonts w:ascii="Arial" w:hAnsi="Arial" w:cs="Arial"/>
          <w:bCs/>
          <w:shd w:val="clear" w:color="auto" w:fill="FFFFFF"/>
        </w:rPr>
        <w:t xml:space="preserve"> i jest</w:t>
      </w:r>
      <w:r w:rsidR="00C81F37" w:rsidRPr="002A2E8E">
        <w:rPr>
          <w:rFonts w:ascii="Arial" w:hAnsi="Arial" w:cs="Arial"/>
          <w:bCs/>
          <w:shd w:val="clear" w:color="auto" w:fill="FFFFFF"/>
        </w:rPr>
        <w:t xml:space="preserve"> dobrym markerem aktywności choroby i odpowiedzi na lecze</w:t>
      </w:r>
      <w:r w:rsidRPr="002A2E8E">
        <w:rPr>
          <w:rFonts w:ascii="Arial" w:hAnsi="Arial" w:cs="Arial"/>
          <w:bCs/>
          <w:shd w:val="clear" w:color="auto" w:fill="FFFFFF"/>
        </w:rPr>
        <w:t xml:space="preserve">nie </w:t>
      </w:r>
      <w:r w:rsidR="00EF2A71">
        <w:rPr>
          <w:rFonts w:ascii="Arial" w:hAnsi="Arial" w:cs="Arial"/>
          <w:bCs/>
          <w:shd w:val="clear" w:color="auto" w:fill="FFFFFF"/>
        </w:rPr>
        <w:t>farmakologiczne</w:t>
      </w:r>
      <w:r w:rsidRPr="002A2E8E">
        <w:rPr>
          <w:rFonts w:ascii="Arial" w:hAnsi="Arial" w:cs="Arial"/>
          <w:bCs/>
          <w:shd w:val="clear" w:color="auto" w:fill="FFFFFF"/>
        </w:rPr>
        <w:t xml:space="preserve"> pacjentów z MGB</w:t>
      </w:r>
      <w:r w:rsidR="00C81F37" w:rsidRPr="002A2E8E">
        <w:rPr>
          <w:rFonts w:ascii="Arial" w:hAnsi="Arial" w:cs="Arial"/>
          <w:bCs/>
          <w:shd w:val="clear" w:color="auto" w:fill="FFFFFF"/>
        </w:rPr>
        <w:t xml:space="preserve"> </w:t>
      </w:r>
    </w:p>
    <w:p w:rsidR="00F42CAD" w:rsidRDefault="00B979FE" w:rsidP="00C81F37">
      <w:pPr>
        <w:pStyle w:val="Akapitzlist"/>
        <w:numPr>
          <w:ilvl w:val="0"/>
          <w:numId w:val="19"/>
        </w:numPr>
        <w:spacing w:line="360" w:lineRule="auto"/>
        <w:ind w:left="709"/>
        <w:jc w:val="both"/>
        <w:rPr>
          <w:rFonts w:ascii="Arial" w:hAnsi="Arial" w:cs="Arial"/>
          <w:bCs/>
          <w:shd w:val="clear" w:color="auto" w:fill="FFFFFF"/>
        </w:rPr>
      </w:pPr>
      <w:r>
        <w:rPr>
          <w:rFonts w:ascii="Arial" w:hAnsi="Arial" w:cs="Arial"/>
          <w:bCs/>
          <w:shd w:val="clear" w:color="auto" w:fill="FFFFFF"/>
        </w:rPr>
        <w:t>o</w:t>
      </w:r>
      <w:r w:rsidR="00F42CAD">
        <w:rPr>
          <w:rFonts w:ascii="Arial" w:hAnsi="Arial" w:cs="Arial"/>
          <w:bCs/>
          <w:shd w:val="clear" w:color="auto" w:fill="FFFFFF"/>
        </w:rPr>
        <w:t>cena stężeń przeciwciał TBII w początkowej fazie leczenia zachowawczego MGB może służyć prognozowaniu remisji choroby i ustaleniu optymalnej terapii</w:t>
      </w:r>
      <w:r w:rsidR="00D60F56">
        <w:rPr>
          <w:rFonts w:ascii="Arial" w:hAnsi="Arial" w:cs="Arial"/>
          <w:bCs/>
          <w:shd w:val="clear" w:color="auto" w:fill="FFFFFF"/>
        </w:rPr>
        <w:t xml:space="preserve">, pacjenci ze stężeniem TBII powyżej 14 IU/l po 3 </w:t>
      </w:r>
      <w:proofErr w:type="spellStart"/>
      <w:r w:rsidR="00D60F56">
        <w:rPr>
          <w:rFonts w:ascii="Arial" w:hAnsi="Arial" w:cs="Arial"/>
          <w:bCs/>
          <w:shd w:val="clear" w:color="auto" w:fill="FFFFFF"/>
        </w:rPr>
        <w:t>m-cach</w:t>
      </w:r>
      <w:proofErr w:type="spellEnd"/>
      <w:r w:rsidR="00D60F56">
        <w:rPr>
          <w:rFonts w:ascii="Arial" w:hAnsi="Arial" w:cs="Arial"/>
          <w:bCs/>
          <w:shd w:val="clear" w:color="auto" w:fill="FFFFFF"/>
        </w:rPr>
        <w:t xml:space="preserve"> i powyżej 8 IU/l po 6-ciu mieli częściej nawrót nadczynności tarczycy   </w:t>
      </w:r>
    </w:p>
    <w:p w:rsidR="00963FF0" w:rsidRDefault="00B979FE" w:rsidP="00C81F37">
      <w:pPr>
        <w:pStyle w:val="Akapitzlist"/>
        <w:numPr>
          <w:ilvl w:val="0"/>
          <w:numId w:val="19"/>
        </w:numPr>
        <w:spacing w:line="360" w:lineRule="auto"/>
        <w:ind w:left="709"/>
        <w:jc w:val="both"/>
        <w:rPr>
          <w:rFonts w:ascii="Arial" w:hAnsi="Arial" w:cs="Arial"/>
          <w:bCs/>
          <w:shd w:val="clear" w:color="auto" w:fill="FFFFFF"/>
        </w:rPr>
      </w:pPr>
      <w:r>
        <w:rPr>
          <w:rFonts w:ascii="Arial" w:hAnsi="Arial" w:cs="Arial"/>
          <w:bCs/>
          <w:shd w:val="clear" w:color="auto" w:fill="FFFFFF"/>
        </w:rPr>
        <w:t>p</w:t>
      </w:r>
      <w:r w:rsidR="00442966">
        <w:rPr>
          <w:rFonts w:ascii="Arial" w:hAnsi="Arial" w:cs="Arial"/>
          <w:bCs/>
          <w:shd w:val="clear" w:color="auto" w:fill="FFFFFF"/>
        </w:rPr>
        <w:t>acjenci z MGB</w:t>
      </w:r>
      <w:r w:rsidR="00963FF0">
        <w:rPr>
          <w:rFonts w:ascii="Arial" w:hAnsi="Arial" w:cs="Arial"/>
          <w:bCs/>
          <w:shd w:val="clear" w:color="auto" w:fill="FFFFFF"/>
        </w:rPr>
        <w:t>, szczególnie w fazie nadczynności tarczycy</w:t>
      </w:r>
      <w:r w:rsidR="00442966">
        <w:rPr>
          <w:rFonts w:ascii="Arial" w:hAnsi="Arial" w:cs="Arial"/>
          <w:bCs/>
          <w:shd w:val="clear" w:color="auto" w:fill="FFFFFF"/>
        </w:rPr>
        <w:t xml:space="preserve"> mają zwiększone stężenie TREC </w:t>
      </w:r>
      <w:r w:rsidR="00442966" w:rsidRPr="00442966">
        <w:rPr>
          <w:rFonts w:ascii="Arial" w:hAnsi="Arial" w:cs="Arial"/>
          <w:bCs/>
          <w:shd w:val="clear" w:color="auto" w:fill="FFFFFF"/>
        </w:rPr>
        <w:t>(</w:t>
      </w:r>
      <w:proofErr w:type="spellStart"/>
      <w:r w:rsidR="00442966" w:rsidRPr="00442966">
        <w:rPr>
          <w:rFonts w:ascii="Arial" w:hAnsi="Arial" w:cs="Arial"/>
          <w:color w:val="000000"/>
          <w:shd w:val="clear" w:color="auto" w:fill="FFFFFF"/>
        </w:rPr>
        <w:t>T-cell</w:t>
      </w:r>
      <w:proofErr w:type="spellEnd"/>
      <w:r w:rsidR="00442966" w:rsidRPr="00442966">
        <w:rPr>
          <w:rFonts w:ascii="Arial" w:hAnsi="Arial" w:cs="Arial"/>
          <w:color w:val="000000"/>
          <w:shd w:val="clear" w:color="auto" w:fill="FFFFFF"/>
        </w:rPr>
        <w:t xml:space="preserve"> receptor </w:t>
      </w:r>
      <w:proofErr w:type="spellStart"/>
      <w:r w:rsidR="00442966" w:rsidRPr="00442966">
        <w:rPr>
          <w:rFonts w:ascii="Arial" w:hAnsi="Arial" w:cs="Arial"/>
          <w:color w:val="000000"/>
          <w:shd w:val="clear" w:color="auto" w:fill="FFFFFF"/>
        </w:rPr>
        <w:t>rearrangement</w:t>
      </w:r>
      <w:proofErr w:type="spellEnd"/>
      <w:r w:rsidR="00442966" w:rsidRPr="00442966">
        <w:rPr>
          <w:rFonts w:ascii="Arial" w:hAnsi="Arial" w:cs="Arial"/>
          <w:color w:val="000000"/>
          <w:shd w:val="clear" w:color="auto" w:fill="FFFFFF"/>
        </w:rPr>
        <w:t xml:space="preserve"> </w:t>
      </w:r>
      <w:proofErr w:type="spellStart"/>
      <w:r w:rsidR="00442966" w:rsidRPr="00442966">
        <w:rPr>
          <w:rFonts w:ascii="Arial" w:hAnsi="Arial" w:cs="Arial"/>
          <w:color w:val="000000"/>
          <w:shd w:val="clear" w:color="auto" w:fill="FFFFFF"/>
        </w:rPr>
        <w:t>excision</w:t>
      </w:r>
      <w:proofErr w:type="spellEnd"/>
      <w:r w:rsidR="00442966" w:rsidRPr="00442966">
        <w:rPr>
          <w:rFonts w:ascii="Arial" w:hAnsi="Arial" w:cs="Arial"/>
          <w:color w:val="000000"/>
          <w:shd w:val="clear" w:color="auto" w:fill="FFFFFF"/>
        </w:rPr>
        <w:t xml:space="preserve"> </w:t>
      </w:r>
      <w:proofErr w:type="spellStart"/>
      <w:r w:rsidR="00442966" w:rsidRPr="00442966">
        <w:rPr>
          <w:rFonts w:ascii="Arial" w:hAnsi="Arial" w:cs="Arial"/>
          <w:color w:val="000000"/>
          <w:shd w:val="clear" w:color="auto" w:fill="FFFFFF"/>
        </w:rPr>
        <w:t>circles</w:t>
      </w:r>
      <w:proofErr w:type="spellEnd"/>
      <w:r w:rsidR="00442966" w:rsidRPr="00442966">
        <w:rPr>
          <w:rFonts w:ascii="Arial" w:hAnsi="Arial" w:cs="Arial"/>
          <w:color w:val="000000"/>
          <w:shd w:val="clear" w:color="auto" w:fill="FFFFFF"/>
        </w:rPr>
        <w:t>)</w:t>
      </w:r>
      <w:r w:rsidR="00963FF0">
        <w:rPr>
          <w:rFonts w:ascii="Arial" w:hAnsi="Arial" w:cs="Arial"/>
          <w:color w:val="000000"/>
          <w:shd w:val="clear" w:color="auto" w:fill="FFFFFF"/>
        </w:rPr>
        <w:t>,</w:t>
      </w:r>
      <w:r w:rsidR="00F42CAD">
        <w:rPr>
          <w:rFonts w:ascii="Arial" w:hAnsi="Arial" w:cs="Arial"/>
          <w:bCs/>
          <w:shd w:val="clear" w:color="auto" w:fill="FFFFFF"/>
        </w:rPr>
        <w:t xml:space="preserve"> </w:t>
      </w:r>
      <w:r w:rsidR="00963FF0">
        <w:rPr>
          <w:rFonts w:ascii="Arial" w:hAnsi="Arial" w:cs="Arial"/>
          <w:bCs/>
          <w:shd w:val="clear" w:color="auto" w:fill="FFFFFF"/>
        </w:rPr>
        <w:t>co przemawia za zwiększoną</w:t>
      </w:r>
      <w:r w:rsidR="00442966">
        <w:rPr>
          <w:rFonts w:ascii="Arial" w:hAnsi="Arial" w:cs="Arial"/>
          <w:bCs/>
          <w:shd w:val="clear" w:color="auto" w:fill="FFFFFF"/>
        </w:rPr>
        <w:t xml:space="preserve"> aktywnością grasicy w </w:t>
      </w:r>
      <w:r w:rsidR="00D60F56">
        <w:rPr>
          <w:rFonts w:ascii="Arial" w:hAnsi="Arial" w:cs="Arial"/>
          <w:bCs/>
          <w:shd w:val="clear" w:color="auto" w:fill="FFFFFF"/>
        </w:rPr>
        <w:t xml:space="preserve">tej </w:t>
      </w:r>
      <w:r w:rsidR="00442966">
        <w:rPr>
          <w:rFonts w:ascii="Arial" w:hAnsi="Arial" w:cs="Arial"/>
          <w:bCs/>
          <w:shd w:val="clear" w:color="auto" w:fill="FFFFFF"/>
        </w:rPr>
        <w:t>chorob</w:t>
      </w:r>
      <w:r w:rsidR="00963FF0">
        <w:rPr>
          <w:rFonts w:ascii="Arial" w:hAnsi="Arial" w:cs="Arial"/>
          <w:bCs/>
          <w:shd w:val="clear" w:color="auto" w:fill="FFFFFF"/>
        </w:rPr>
        <w:t>i</w:t>
      </w:r>
      <w:r w:rsidR="00442966">
        <w:rPr>
          <w:rFonts w:ascii="Arial" w:hAnsi="Arial" w:cs="Arial"/>
          <w:bCs/>
          <w:shd w:val="clear" w:color="auto" w:fill="FFFFFF"/>
        </w:rPr>
        <w:t>e autoimmunologicznej</w:t>
      </w:r>
    </w:p>
    <w:p w:rsidR="00C04EB8" w:rsidRDefault="00B979FE" w:rsidP="00C04EB8">
      <w:pPr>
        <w:pStyle w:val="Akapitzlist"/>
        <w:numPr>
          <w:ilvl w:val="0"/>
          <w:numId w:val="19"/>
        </w:numPr>
        <w:spacing w:line="360" w:lineRule="auto"/>
        <w:ind w:left="709" w:hanging="357"/>
        <w:jc w:val="both"/>
        <w:rPr>
          <w:rFonts w:ascii="Arial" w:hAnsi="Arial" w:cs="Arial"/>
          <w:color w:val="000000"/>
          <w:shd w:val="clear" w:color="auto" w:fill="FFFFFF"/>
        </w:rPr>
      </w:pPr>
      <w:r>
        <w:rPr>
          <w:rFonts w:ascii="Arial" w:hAnsi="Arial" w:cs="Arial"/>
          <w:bCs/>
          <w:shd w:val="clear" w:color="auto" w:fill="FFFFFF"/>
        </w:rPr>
        <w:t>m</w:t>
      </w:r>
      <w:r w:rsidR="00C04EB8" w:rsidRPr="00C04EB8">
        <w:rPr>
          <w:rFonts w:ascii="Arial" w:hAnsi="Arial" w:cs="Arial"/>
          <w:bCs/>
          <w:shd w:val="clear" w:color="auto" w:fill="FFFFFF"/>
        </w:rPr>
        <w:t xml:space="preserve">łodzi pacjenci z MGB (≤ 30 roku życia) posiadający  </w:t>
      </w:r>
      <w:proofErr w:type="spellStart"/>
      <w:r w:rsidR="00C04EB8" w:rsidRPr="00C04EB8">
        <w:rPr>
          <w:rFonts w:ascii="Arial" w:hAnsi="Arial" w:cs="Arial"/>
          <w:bCs/>
          <w:shd w:val="clear" w:color="auto" w:fill="FFFFFF"/>
        </w:rPr>
        <w:t>alell</w:t>
      </w:r>
      <w:proofErr w:type="spellEnd"/>
      <w:r w:rsidR="00C04EB8" w:rsidRPr="00C04EB8">
        <w:rPr>
          <w:rFonts w:ascii="Arial" w:hAnsi="Arial" w:cs="Arial"/>
          <w:bCs/>
          <w:shd w:val="clear" w:color="auto" w:fill="FFFFFF"/>
        </w:rPr>
        <w:t xml:space="preserve"> A polimorfizmu receptora   TSH </w:t>
      </w:r>
      <w:r w:rsidR="00C04EB8" w:rsidRPr="00C04EB8">
        <w:rPr>
          <w:rFonts w:ascii="Arial" w:hAnsi="Arial" w:cs="Arial"/>
          <w:color w:val="000000"/>
          <w:shd w:val="clear" w:color="auto" w:fill="FFFFFF"/>
        </w:rPr>
        <w:t xml:space="preserve">rs179247 mają mniejsze ryzyko rozwoju </w:t>
      </w:r>
      <w:proofErr w:type="spellStart"/>
      <w:r w:rsidR="00C04EB8" w:rsidRPr="00C04EB8">
        <w:rPr>
          <w:rFonts w:ascii="Arial" w:hAnsi="Arial" w:cs="Arial"/>
          <w:color w:val="000000"/>
          <w:shd w:val="clear" w:color="auto" w:fill="FFFFFF"/>
        </w:rPr>
        <w:t>orbitopatii</w:t>
      </w:r>
      <w:proofErr w:type="spellEnd"/>
      <w:r w:rsidR="00C04EB8" w:rsidRPr="00C04EB8">
        <w:rPr>
          <w:rFonts w:ascii="Arial" w:hAnsi="Arial" w:cs="Arial"/>
          <w:color w:val="000000"/>
          <w:shd w:val="clear" w:color="auto" w:fill="FFFFFF"/>
        </w:rPr>
        <w:t xml:space="preserve"> tarczycowej.  </w:t>
      </w:r>
    </w:p>
    <w:p w:rsidR="00DE7DF8" w:rsidRDefault="00DE7DF8" w:rsidP="00082450">
      <w:pPr>
        <w:spacing w:line="240" w:lineRule="auto"/>
        <w:rPr>
          <w:rFonts w:ascii="Arial" w:hAnsi="Arial" w:cs="Arial"/>
          <w:color w:val="000000"/>
          <w:shd w:val="clear" w:color="auto" w:fill="FFFFFF"/>
          <w:lang w:val="en-US"/>
        </w:rPr>
      </w:pPr>
      <w:r w:rsidRPr="00C04EB8">
        <w:rPr>
          <w:rFonts w:ascii="Arial" w:hAnsi="Arial" w:cs="Arial"/>
          <w:color w:val="000000"/>
          <w:shd w:val="clear" w:color="auto" w:fill="FFFFFF"/>
        </w:rPr>
        <w:t xml:space="preserve">Bednarczuk T, </w:t>
      </w:r>
      <w:proofErr w:type="spellStart"/>
      <w:r w:rsidRPr="00C04EB8">
        <w:rPr>
          <w:rFonts w:ascii="Arial" w:hAnsi="Arial" w:cs="Arial"/>
          <w:color w:val="000000"/>
          <w:shd w:val="clear" w:color="auto" w:fill="FFFFFF"/>
        </w:rPr>
        <w:t>Placha</w:t>
      </w:r>
      <w:proofErr w:type="spellEnd"/>
      <w:r w:rsidRPr="00C04EB8">
        <w:rPr>
          <w:rFonts w:ascii="Arial" w:hAnsi="Arial" w:cs="Arial"/>
          <w:color w:val="000000"/>
          <w:shd w:val="clear" w:color="auto" w:fill="FFFFFF"/>
        </w:rPr>
        <w:t xml:space="preserve"> G, </w:t>
      </w:r>
      <w:proofErr w:type="spellStart"/>
      <w:r w:rsidRPr="00C04EB8">
        <w:rPr>
          <w:rFonts w:ascii="Arial" w:hAnsi="Arial" w:cs="Arial"/>
          <w:color w:val="000000"/>
          <w:shd w:val="clear" w:color="auto" w:fill="FFFFFF"/>
        </w:rPr>
        <w:t>Jazdzewski</w:t>
      </w:r>
      <w:proofErr w:type="spellEnd"/>
      <w:r w:rsidRPr="00C04EB8">
        <w:rPr>
          <w:rFonts w:ascii="Arial" w:hAnsi="Arial" w:cs="Arial"/>
          <w:color w:val="000000"/>
          <w:shd w:val="clear" w:color="auto" w:fill="FFFFFF"/>
        </w:rPr>
        <w:t xml:space="preserve"> K, </w:t>
      </w:r>
      <w:proofErr w:type="spellStart"/>
      <w:r w:rsidRPr="00C04EB8">
        <w:rPr>
          <w:rFonts w:ascii="Arial" w:hAnsi="Arial" w:cs="Arial"/>
          <w:color w:val="000000"/>
          <w:shd w:val="clear" w:color="auto" w:fill="FFFFFF"/>
        </w:rPr>
        <w:t>Kurylowicz</w:t>
      </w:r>
      <w:proofErr w:type="spellEnd"/>
      <w:r w:rsidRPr="00C04EB8">
        <w:rPr>
          <w:rFonts w:ascii="Arial" w:hAnsi="Arial" w:cs="Arial"/>
          <w:color w:val="000000"/>
          <w:shd w:val="clear" w:color="auto" w:fill="FFFFFF"/>
        </w:rPr>
        <w:t xml:space="preserve"> A, </w:t>
      </w:r>
      <w:proofErr w:type="spellStart"/>
      <w:r w:rsidRPr="00C04EB8">
        <w:rPr>
          <w:rFonts w:ascii="Arial" w:hAnsi="Arial" w:cs="Arial"/>
          <w:color w:val="000000"/>
          <w:shd w:val="clear" w:color="auto" w:fill="FFFFFF"/>
        </w:rPr>
        <w:t>Kloza</w:t>
      </w:r>
      <w:proofErr w:type="spellEnd"/>
      <w:r w:rsidRPr="00C04EB8">
        <w:rPr>
          <w:rFonts w:ascii="Arial" w:hAnsi="Arial" w:cs="Arial"/>
          <w:color w:val="000000"/>
          <w:shd w:val="clear" w:color="auto" w:fill="FFFFFF"/>
        </w:rPr>
        <w:t xml:space="preserve"> M,</w:t>
      </w:r>
      <w:r w:rsidRPr="00C04EB8">
        <w:rPr>
          <w:rStyle w:val="apple-converted-space"/>
          <w:color w:val="000000"/>
          <w:shd w:val="clear" w:color="auto" w:fill="FFFFFF"/>
        </w:rPr>
        <w:t> </w:t>
      </w:r>
      <w:r w:rsidRPr="00C04EB8">
        <w:rPr>
          <w:rFonts w:ascii="Arial" w:hAnsi="Arial" w:cs="Arial"/>
          <w:b/>
          <w:bCs/>
          <w:shd w:val="clear" w:color="auto" w:fill="FFFFFF"/>
        </w:rPr>
        <w:t>Makowska U</w:t>
      </w:r>
      <w:r w:rsidRPr="00C04EB8">
        <w:rPr>
          <w:rFonts w:ascii="Arial" w:hAnsi="Arial" w:cs="Arial"/>
          <w:color w:val="000000"/>
          <w:shd w:val="clear" w:color="auto" w:fill="FFFFFF"/>
        </w:rPr>
        <w:t xml:space="preserve">, </w:t>
      </w:r>
      <w:proofErr w:type="spellStart"/>
      <w:r w:rsidRPr="00C04EB8">
        <w:rPr>
          <w:rFonts w:ascii="Arial" w:hAnsi="Arial" w:cs="Arial"/>
          <w:color w:val="000000"/>
          <w:shd w:val="clear" w:color="auto" w:fill="FFFFFF"/>
        </w:rPr>
        <w:t>Hiromatsu</w:t>
      </w:r>
      <w:proofErr w:type="spellEnd"/>
      <w:r w:rsidRPr="00C04EB8">
        <w:rPr>
          <w:rFonts w:ascii="Arial" w:hAnsi="Arial" w:cs="Arial"/>
          <w:color w:val="000000"/>
          <w:shd w:val="clear" w:color="auto" w:fill="FFFFFF"/>
        </w:rPr>
        <w:t xml:space="preserve"> Y, </w:t>
      </w:r>
      <w:proofErr w:type="spellStart"/>
      <w:r w:rsidRPr="00C04EB8">
        <w:rPr>
          <w:rFonts w:ascii="Arial" w:hAnsi="Arial" w:cs="Arial"/>
          <w:color w:val="000000"/>
          <w:shd w:val="clear" w:color="auto" w:fill="FFFFFF"/>
        </w:rPr>
        <w:t>Nauman</w:t>
      </w:r>
      <w:proofErr w:type="spellEnd"/>
      <w:r w:rsidRPr="00C04EB8">
        <w:rPr>
          <w:rFonts w:ascii="Arial" w:hAnsi="Arial" w:cs="Arial"/>
          <w:color w:val="000000"/>
          <w:shd w:val="clear" w:color="auto" w:fill="FFFFFF"/>
        </w:rPr>
        <w:t xml:space="preserve"> J</w:t>
      </w:r>
      <w:r w:rsidRPr="00C04EB8">
        <w:rPr>
          <w:rFonts w:ascii="Arial" w:hAnsi="Arial" w:cs="Arial"/>
          <w:shd w:val="clear" w:color="auto" w:fill="FFFFFF"/>
        </w:rPr>
        <w:t>.</w:t>
      </w:r>
      <w:r w:rsidRPr="00C04EB8">
        <w:rPr>
          <w:rFonts w:ascii="Arial" w:hAnsi="Arial" w:cs="Arial"/>
        </w:rPr>
        <w:t xml:space="preserve"> </w:t>
      </w:r>
      <w:hyperlink r:id="rId14" w:history="1">
        <w:r w:rsidRPr="00C04EB8">
          <w:rPr>
            <w:rStyle w:val="Hipercze"/>
            <w:rFonts w:ascii="Arial" w:hAnsi="Arial" w:cs="Arial"/>
            <w:color w:val="auto"/>
            <w:u w:val="none"/>
            <w:shd w:val="clear" w:color="auto" w:fill="FFFFFF"/>
            <w:lang w:val="en-US"/>
          </w:rPr>
          <w:t>Interleukin-13 gene polymorphisms in patients with Graves' disease.</w:t>
        </w:r>
      </w:hyperlink>
      <w:r w:rsidRPr="00C04EB8">
        <w:rPr>
          <w:rStyle w:val="Nagwek3Znak"/>
          <w:rFonts w:eastAsiaTheme="minorHAnsi"/>
          <w:color w:val="000000"/>
          <w:sz w:val="22"/>
          <w:szCs w:val="22"/>
          <w:shd w:val="clear" w:color="auto" w:fill="FFFFFF"/>
          <w:lang w:val="en-US"/>
        </w:rPr>
        <w:t xml:space="preserve"> </w:t>
      </w:r>
      <w:proofErr w:type="spellStart"/>
      <w:r w:rsidRPr="00C04EB8">
        <w:rPr>
          <w:rStyle w:val="jrnl"/>
          <w:rFonts w:ascii="Arial" w:hAnsi="Arial" w:cs="Arial"/>
          <w:color w:val="000000"/>
          <w:shd w:val="clear" w:color="auto" w:fill="FFFFFF"/>
          <w:lang w:val="en-US"/>
        </w:rPr>
        <w:t>Clin</w:t>
      </w:r>
      <w:proofErr w:type="spellEnd"/>
      <w:r w:rsidRPr="00C04EB8">
        <w:rPr>
          <w:rStyle w:val="jrnl"/>
          <w:rFonts w:ascii="Arial" w:hAnsi="Arial" w:cs="Arial"/>
          <w:color w:val="000000"/>
          <w:shd w:val="clear" w:color="auto" w:fill="FFFFFF"/>
          <w:lang w:val="en-US"/>
        </w:rPr>
        <w:t xml:space="preserve"> </w:t>
      </w:r>
      <w:proofErr w:type="spellStart"/>
      <w:r w:rsidRPr="00C04EB8">
        <w:rPr>
          <w:rStyle w:val="jrnl"/>
          <w:rFonts w:ascii="Arial" w:hAnsi="Arial" w:cs="Arial"/>
          <w:color w:val="000000"/>
          <w:shd w:val="clear" w:color="auto" w:fill="FFFFFF"/>
          <w:lang w:val="en-US"/>
        </w:rPr>
        <w:t>Endocrinol</w:t>
      </w:r>
      <w:proofErr w:type="spellEnd"/>
      <w:r w:rsidRPr="00C04EB8">
        <w:rPr>
          <w:rStyle w:val="jrnl"/>
          <w:rFonts w:ascii="Arial" w:hAnsi="Arial" w:cs="Arial"/>
          <w:color w:val="000000"/>
          <w:shd w:val="clear" w:color="auto" w:fill="FFFFFF"/>
          <w:lang w:val="en-US"/>
        </w:rPr>
        <w:t xml:space="preserve"> (</w:t>
      </w:r>
      <w:proofErr w:type="spellStart"/>
      <w:r w:rsidRPr="00C04EB8">
        <w:rPr>
          <w:rStyle w:val="jrnl"/>
          <w:rFonts w:ascii="Arial" w:hAnsi="Arial" w:cs="Arial"/>
          <w:color w:val="000000"/>
          <w:shd w:val="clear" w:color="auto" w:fill="FFFFFF"/>
          <w:lang w:val="en-US"/>
        </w:rPr>
        <w:t>Oxf</w:t>
      </w:r>
      <w:proofErr w:type="spellEnd"/>
      <w:r w:rsidRPr="00C04EB8">
        <w:rPr>
          <w:rStyle w:val="jrnl"/>
          <w:rFonts w:ascii="Arial" w:hAnsi="Arial" w:cs="Arial"/>
          <w:color w:val="000000"/>
          <w:shd w:val="clear" w:color="auto" w:fill="FFFFFF"/>
          <w:lang w:val="en-US"/>
        </w:rPr>
        <w:t>)</w:t>
      </w:r>
      <w:r w:rsidR="001330F7" w:rsidRPr="00C04EB8">
        <w:rPr>
          <w:rFonts w:ascii="Arial" w:hAnsi="Arial" w:cs="Arial"/>
          <w:color w:val="000000"/>
          <w:shd w:val="clear" w:color="auto" w:fill="FFFFFF"/>
          <w:lang w:val="en-US"/>
        </w:rPr>
        <w:t>. 2003</w:t>
      </w:r>
      <w:r w:rsidRPr="00C04EB8">
        <w:rPr>
          <w:rFonts w:ascii="Arial" w:hAnsi="Arial" w:cs="Arial"/>
          <w:color w:val="000000"/>
          <w:shd w:val="clear" w:color="auto" w:fill="FFFFFF"/>
          <w:lang w:val="en-US"/>
        </w:rPr>
        <w:t>;59(4):519-25.</w:t>
      </w:r>
    </w:p>
    <w:p w:rsidR="00946BD8" w:rsidRPr="006926F8" w:rsidRDefault="00946BD8" w:rsidP="00C04EB8">
      <w:pPr>
        <w:spacing w:line="240" w:lineRule="auto"/>
        <w:jc w:val="both"/>
        <w:rPr>
          <w:rFonts w:ascii="Arial" w:hAnsi="Arial" w:cs="Arial"/>
          <w:b/>
          <w:color w:val="000000"/>
          <w:shd w:val="clear" w:color="auto" w:fill="FFFFFF"/>
        </w:rPr>
      </w:pPr>
      <w:r w:rsidRPr="004D6BB8">
        <w:rPr>
          <w:rFonts w:ascii="Arial" w:hAnsi="Arial" w:cs="Arial"/>
          <w:b/>
          <w:color w:val="000000"/>
          <w:shd w:val="clear" w:color="auto" w:fill="FFFFFF"/>
        </w:rPr>
        <w:t>IF</w:t>
      </w:r>
      <w:r w:rsidRPr="004D6BB8">
        <w:rPr>
          <w:rFonts w:ascii="Arial" w:hAnsi="Arial" w:cs="Arial"/>
          <w:color w:val="000000"/>
          <w:shd w:val="clear" w:color="auto" w:fill="FFFFFF"/>
        </w:rPr>
        <w:t xml:space="preserve"> </w:t>
      </w:r>
      <w:r w:rsidRPr="006926F8">
        <w:rPr>
          <w:rFonts w:ascii="Arial" w:hAnsi="Arial" w:cs="Arial"/>
          <w:b/>
          <w:color w:val="000000"/>
          <w:shd w:val="clear" w:color="auto" w:fill="FFFFFF"/>
        </w:rPr>
        <w:t xml:space="preserve">2,767 </w:t>
      </w:r>
      <w:proofErr w:type="spellStart"/>
      <w:r w:rsidRPr="006926F8">
        <w:rPr>
          <w:rFonts w:ascii="Arial" w:hAnsi="Arial" w:cs="Arial"/>
          <w:b/>
          <w:color w:val="000000"/>
          <w:shd w:val="clear" w:color="auto" w:fill="FFFFFF"/>
        </w:rPr>
        <w:t>MNiSW</w:t>
      </w:r>
      <w:proofErr w:type="spellEnd"/>
      <w:r w:rsidRPr="006926F8">
        <w:rPr>
          <w:rFonts w:ascii="Arial" w:hAnsi="Arial" w:cs="Arial"/>
          <w:b/>
          <w:color w:val="000000"/>
          <w:shd w:val="clear" w:color="auto" w:fill="FFFFFF"/>
        </w:rPr>
        <w:t xml:space="preserve"> 12</w:t>
      </w:r>
    </w:p>
    <w:p w:rsidR="00AA2E55" w:rsidRDefault="00AA2E55" w:rsidP="00082450">
      <w:pPr>
        <w:spacing w:line="240" w:lineRule="auto"/>
        <w:rPr>
          <w:rFonts w:ascii="Arial" w:hAnsi="Arial" w:cs="Arial"/>
          <w:shd w:val="clear" w:color="auto" w:fill="FFFFFF"/>
        </w:rPr>
      </w:pPr>
      <w:proofErr w:type="spellStart"/>
      <w:r w:rsidRPr="00602127">
        <w:rPr>
          <w:rFonts w:ascii="Arial" w:hAnsi="Arial" w:cs="Arial"/>
          <w:shd w:val="clear" w:color="auto" w:fill="FFFFFF"/>
        </w:rPr>
        <w:t>Jonas</w:t>
      </w:r>
      <w:proofErr w:type="spellEnd"/>
      <w:r w:rsidRPr="00602127">
        <w:rPr>
          <w:rFonts w:ascii="Arial" w:hAnsi="Arial" w:cs="Arial"/>
          <w:shd w:val="clear" w:color="auto" w:fill="FFFFFF"/>
        </w:rPr>
        <w:t xml:space="preserve"> M,</w:t>
      </w:r>
      <w:r w:rsidRPr="00602127">
        <w:rPr>
          <w:rStyle w:val="apple-converted-space"/>
          <w:rFonts w:cs="Arial"/>
          <w:shd w:val="clear" w:color="auto" w:fill="FFFFFF"/>
        </w:rPr>
        <w:t> </w:t>
      </w:r>
      <w:r w:rsidRPr="00602127">
        <w:rPr>
          <w:rFonts w:ascii="Arial" w:hAnsi="Arial" w:cs="Arial"/>
          <w:b/>
          <w:bCs/>
          <w:shd w:val="clear" w:color="auto" w:fill="FFFFFF"/>
        </w:rPr>
        <w:t>Ambroziak U</w:t>
      </w:r>
      <w:r w:rsidRPr="00602127">
        <w:rPr>
          <w:rFonts w:ascii="Arial" w:hAnsi="Arial" w:cs="Arial"/>
          <w:shd w:val="clear" w:color="auto" w:fill="FFFFFF"/>
        </w:rPr>
        <w:t xml:space="preserve">, </w:t>
      </w:r>
      <w:proofErr w:type="spellStart"/>
      <w:r w:rsidRPr="00602127">
        <w:rPr>
          <w:rFonts w:ascii="Arial" w:hAnsi="Arial" w:cs="Arial"/>
          <w:shd w:val="clear" w:color="auto" w:fill="FFFFFF"/>
        </w:rPr>
        <w:t>Nauman</w:t>
      </w:r>
      <w:proofErr w:type="spellEnd"/>
      <w:r w:rsidRPr="00602127">
        <w:rPr>
          <w:rFonts w:ascii="Arial" w:hAnsi="Arial" w:cs="Arial"/>
          <w:shd w:val="clear" w:color="auto" w:fill="FFFFFF"/>
        </w:rPr>
        <w:t xml:space="preserve"> J.</w:t>
      </w:r>
      <w:r w:rsidRPr="00602127">
        <w:rPr>
          <w:rFonts w:ascii="Arial" w:hAnsi="Arial" w:cs="Arial"/>
        </w:rPr>
        <w:t xml:space="preserve"> </w:t>
      </w:r>
      <w:hyperlink r:id="rId15" w:history="1">
        <w:r w:rsidRPr="00602127">
          <w:rPr>
            <w:rStyle w:val="Hipercze"/>
            <w:rFonts w:ascii="Arial" w:hAnsi="Arial" w:cs="Arial"/>
            <w:color w:val="auto"/>
            <w:u w:val="none"/>
            <w:shd w:val="clear" w:color="auto" w:fill="FFFFFF"/>
            <w:lang w:val="en-US"/>
          </w:rPr>
          <w:t xml:space="preserve">Correlation between thyroid stimulating </w:t>
        </w:r>
        <w:proofErr w:type="spellStart"/>
        <w:r w:rsidRPr="00602127">
          <w:rPr>
            <w:rStyle w:val="Hipercze"/>
            <w:rFonts w:ascii="Arial" w:hAnsi="Arial" w:cs="Arial"/>
            <w:color w:val="auto"/>
            <w:u w:val="none"/>
            <w:shd w:val="clear" w:color="auto" w:fill="FFFFFF"/>
            <w:lang w:val="en-US"/>
          </w:rPr>
          <w:t>immunoglobulins</w:t>
        </w:r>
        <w:proofErr w:type="spellEnd"/>
        <w:r w:rsidRPr="00602127">
          <w:rPr>
            <w:rStyle w:val="Hipercze"/>
            <w:rFonts w:ascii="Arial" w:hAnsi="Arial" w:cs="Arial"/>
            <w:color w:val="auto"/>
            <w:u w:val="none"/>
            <w:shd w:val="clear" w:color="auto" w:fill="FFFFFF"/>
            <w:lang w:val="en-US"/>
          </w:rPr>
          <w:t xml:space="preserve"> and </w:t>
        </w:r>
        <w:proofErr w:type="spellStart"/>
        <w:r w:rsidRPr="00602127">
          <w:rPr>
            <w:rStyle w:val="Hipercze"/>
            <w:rFonts w:ascii="Arial" w:hAnsi="Arial" w:cs="Arial"/>
            <w:color w:val="auto"/>
            <w:u w:val="none"/>
            <w:shd w:val="clear" w:color="auto" w:fill="FFFFFF"/>
            <w:lang w:val="en-US"/>
          </w:rPr>
          <w:t>thyrotropin</w:t>
        </w:r>
        <w:proofErr w:type="spellEnd"/>
        <w:r w:rsidRPr="00602127">
          <w:rPr>
            <w:rStyle w:val="Hipercze"/>
            <w:rFonts w:ascii="Arial" w:hAnsi="Arial" w:cs="Arial"/>
            <w:color w:val="auto"/>
            <w:u w:val="none"/>
            <w:shd w:val="clear" w:color="auto" w:fill="FFFFFF"/>
            <w:lang w:val="en-US"/>
          </w:rPr>
          <w:t xml:space="preserve"> binding inhibitory </w:t>
        </w:r>
        <w:proofErr w:type="spellStart"/>
        <w:r w:rsidRPr="00602127">
          <w:rPr>
            <w:rStyle w:val="Hipercze"/>
            <w:rFonts w:ascii="Arial" w:hAnsi="Arial" w:cs="Arial"/>
            <w:color w:val="auto"/>
            <w:u w:val="none"/>
            <w:shd w:val="clear" w:color="auto" w:fill="FFFFFF"/>
            <w:lang w:val="en-US"/>
          </w:rPr>
          <w:t>immunoglobulins</w:t>
        </w:r>
        <w:proofErr w:type="spellEnd"/>
        <w:r w:rsidRPr="00602127">
          <w:rPr>
            <w:rStyle w:val="Hipercze"/>
            <w:rFonts w:ascii="Arial" w:hAnsi="Arial" w:cs="Arial"/>
            <w:color w:val="auto"/>
            <w:u w:val="none"/>
            <w:shd w:val="clear" w:color="auto" w:fill="FFFFFF"/>
            <w:lang w:val="en-US"/>
          </w:rPr>
          <w:t xml:space="preserve"> levels i</w:t>
        </w:r>
        <w:r w:rsidR="00DE7DF8">
          <w:rPr>
            <w:rStyle w:val="Hipercze"/>
            <w:rFonts w:ascii="Arial" w:hAnsi="Arial" w:cs="Arial"/>
            <w:color w:val="auto"/>
            <w:u w:val="none"/>
            <w:shd w:val="clear" w:color="auto" w:fill="FFFFFF"/>
            <w:lang w:val="en-US"/>
          </w:rPr>
          <w:t>n patients with Graves' disease</w:t>
        </w:r>
        <w:r w:rsidRPr="00602127">
          <w:rPr>
            <w:rStyle w:val="Hipercze"/>
            <w:rFonts w:ascii="Arial" w:hAnsi="Arial" w:cs="Arial"/>
            <w:color w:val="auto"/>
            <w:u w:val="none"/>
            <w:shd w:val="clear" w:color="auto" w:fill="FFFFFF"/>
            <w:lang w:val="en-US"/>
          </w:rPr>
          <w:t>.</w:t>
        </w:r>
      </w:hyperlink>
      <w:r w:rsidRPr="00602127">
        <w:rPr>
          <w:rStyle w:val="Nagwek3Znak"/>
          <w:rFonts w:eastAsiaTheme="minorHAnsi"/>
          <w:shd w:val="clear" w:color="auto" w:fill="FFFFFF"/>
          <w:lang w:val="en-US"/>
        </w:rPr>
        <w:t xml:space="preserve"> </w:t>
      </w:r>
      <w:proofErr w:type="spellStart"/>
      <w:r w:rsidRPr="00602127">
        <w:rPr>
          <w:rStyle w:val="jrnl"/>
          <w:rFonts w:ascii="Arial" w:hAnsi="Arial" w:cs="Arial"/>
          <w:shd w:val="clear" w:color="auto" w:fill="FFFFFF"/>
        </w:rPr>
        <w:t>Endokrynol</w:t>
      </w:r>
      <w:proofErr w:type="spellEnd"/>
      <w:r w:rsidRPr="00602127">
        <w:rPr>
          <w:rStyle w:val="jrnl"/>
          <w:rFonts w:ascii="Arial" w:hAnsi="Arial" w:cs="Arial"/>
          <w:shd w:val="clear" w:color="auto" w:fill="FFFFFF"/>
        </w:rPr>
        <w:t xml:space="preserve"> Pol</w:t>
      </w:r>
      <w:r>
        <w:rPr>
          <w:rFonts w:ascii="Arial" w:hAnsi="Arial" w:cs="Arial"/>
          <w:shd w:val="clear" w:color="auto" w:fill="FFFFFF"/>
        </w:rPr>
        <w:t>. 2006</w:t>
      </w:r>
      <w:r w:rsidRPr="00602127">
        <w:rPr>
          <w:rFonts w:ascii="Arial" w:hAnsi="Arial" w:cs="Arial"/>
          <w:shd w:val="clear" w:color="auto" w:fill="FFFFFF"/>
        </w:rPr>
        <w:t>;57(1):23-30.</w:t>
      </w:r>
    </w:p>
    <w:p w:rsidR="008C6C87" w:rsidRPr="006926F8" w:rsidRDefault="008C6C87" w:rsidP="00C61469">
      <w:pPr>
        <w:spacing w:line="240" w:lineRule="auto"/>
        <w:jc w:val="both"/>
        <w:rPr>
          <w:rFonts w:ascii="Arial" w:hAnsi="Arial" w:cs="Arial"/>
          <w:b/>
          <w:shd w:val="clear" w:color="auto" w:fill="FFFFFF"/>
        </w:rPr>
      </w:pPr>
      <w:proofErr w:type="spellStart"/>
      <w:r w:rsidRPr="006926F8">
        <w:rPr>
          <w:rFonts w:ascii="Arial" w:hAnsi="Arial" w:cs="Arial"/>
          <w:b/>
          <w:shd w:val="clear" w:color="auto" w:fill="FFFFFF"/>
        </w:rPr>
        <w:t>MNiSW</w:t>
      </w:r>
      <w:proofErr w:type="spellEnd"/>
      <w:r w:rsidRPr="006926F8">
        <w:rPr>
          <w:rFonts w:ascii="Arial" w:hAnsi="Arial" w:cs="Arial"/>
          <w:b/>
          <w:shd w:val="clear" w:color="auto" w:fill="FFFFFF"/>
        </w:rPr>
        <w:t xml:space="preserve"> 3</w:t>
      </w:r>
    </w:p>
    <w:p w:rsidR="00AA2E55" w:rsidRDefault="00AA2E55" w:rsidP="00082450">
      <w:pPr>
        <w:spacing w:line="240" w:lineRule="auto"/>
        <w:rPr>
          <w:rFonts w:ascii="Arial" w:hAnsi="Arial" w:cs="Arial"/>
          <w:shd w:val="clear" w:color="auto" w:fill="FFFFFF"/>
        </w:rPr>
      </w:pPr>
      <w:proofErr w:type="spellStart"/>
      <w:r w:rsidRPr="00602127">
        <w:rPr>
          <w:rFonts w:ascii="Arial" w:hAnsi="Arial" w:cs="Arial"/>
          <w:shd w:val="clear" w:color="auto" w:fill="FFFFFF"/>
        </w:rPr>
        <w:t>Jonas</w:t>
      </w:r>
      <w:proofErr w:type="spellEnd"/>
      <w:r w:rsidRPr="00602127">
        <w:rPr>
          <w:rFonts w:ascii="Arial" w:hAnsi="Arial" w:cs="Arial"/>
          <w:shd w:val="clear" w:color="auto" w:fill="FFFFFF"/>
        </w:rPr>
        <w:t xml:space="preserve"> M,</w:t>
      </w:r>
      <w:r w:rsidRPr="00602127">
        <w:rPr>
          <w:rStyle w:val="apple-converted-space"/>
          <w:rFonts w:cs="Arial"/>
          <w:shd w:val="clear" w:color="auto" w:fill="FFFFFF"/>
        </w:rPr>
        <w:t> </w:t>
      </w:r>
      <w:r w:rsidRPr="00602127">
        <w:rPr>
          <w:rFonts w:ascii="Arial" w:hAnsi="Arial" w:cs="Arial"/>
          <w:b/>
          <w:bCs/>
          <w:shd w:val="clear" w:color="auto" w:fill="FFFFFF"/>
        </w:rPr>
        <w:t>Ambroziak U</w:t>
      </w:r>
      <w:r w:rsidRPr="00602127">
        <w:rPr>
          <w:rFonts w:ascii="Arial" w:hAnsi="Arial" w:cs="Arial"/>
          <w:shd w:val="clear" w:color="auto" w:fill="FFFFFF"/>
        </w:rPr>
        <w:t xml:space="preserve">, Bednarczuk T, </w:t>
      </w:r>
      <w:proofErr w:type="spellStart"/>
      <w:r w:rsidRPr="00602127">
        <w:rPr>
          <w:rFonts w:ascii="Arial" w:hAnsi="Arial" w:cs="Arial"/>
          <w:shd w:val="clear" w:color="auto" w:fill="FFFFFF"/>
        </w:rPr>
        <w:t>Nauman</w:t>
      </w:r>
      <w:proofErr w:type="spellEnd"/>
      <w:r w:rsidRPr="00602127">
        <w:rPr>
          <w:rFonts w:ascii="Arial" w:hAnsi="Arial" w:cs="Arial"/>
          <w:shd w:val="clear" w:color="auto" w:fill="FFFFFF"/>
        </w:rPr>
        <w:t xml:space="preserve"> J.</w:t>
      </w:r>
      <w:r w:rsidRPr="00602127">
        <w:rPr>
          <w:rFonts w:ascii="Arial" w:hAnsi="Arial" w:cs="Arial"/>
        </w:rPr>
        <w:t xml:space="preserve"> </w:t>
      </w:r>
      <w:hyperlink r:id="rId16" w:history="1">
        <w:r w:rsidRPr="00602127">
          <w:rPr>
            <w:rStyle w:val="Hipercze"/>
            <w:rFonts w:ascii="Arial" w:hAnsi="Arial" w:cs="Arial"/>
            <w:color w:val="auto"/>
            <w:u w:val="none"/>
            <w:shd w:val="clear" w:color="auto" w:fill="FFFFFF"/>
            <w:lang w:val="en-US"/>
          </w:rPr>
          <w:t>Predicting a relapse of Graves' hyperthyroidism in adults during the early phase of treatment with anti-thyroid drugs.</w:t>
        </w:r>
      </w:hyperlink>
      <w:r w:rsidRPr="00602127">
        <w:rPr>
          <w:rStyle w:val="Nagwek3Znak"/>
          <w:rFonts w:eastAsiaTheme="minorHAnsi"/>
          <w:shd w:val="clear" w:color="auto" w:fill="FFFFFF"/>
          <w:lang w:val="en-US"/>
        </w:rPr>
        <w:t xml:space="preserve"> </w:t>
      </w:r>
      <w:proofErr w:type="spellStart"/>
      <w:r w:rsidRPr="00602127">
        <w:rPr>
          <w:rStyle w:val="jrnl"/>
          <w:rFonts w:ascii="Arial" w:hAnsi="Arial" w:cs="Arial"/>
          <w:shd w:val="clear" w:color="auto" w:fill="FFFFFF"/>
        </w:rPr>
        <w:t>Endokrynol</w:t>
      </w:r>
      <w:proofErr w:type="spellEnd"/>
      <w:r w:rsidRPr="00602127">
        <w:rPr>
          <w:rStyle w:val="jrnl"/>
          <w:rFonts w:ascii="Arial" w:hAnsi="Arial" w:cs="Arial"/>
          <w:shd w:val="clear" w:color="auto" w:fill="FFFFFF"/>
        </w:rPr>
        <w:t xml:space="preserve"> Pol</w:t>
      </w:r>
      <w:r w:rsidRPr="00602127">
        <w:rPr>
          <w:rFonts w:ascii="Arial" w:hAnsi="Arial" w:cs="Arial"/>
          <w:shd w:val="clear" w:color="auto" w:fill="FFFFFF"/>
        </w:rPr>
        <w:t>. 2006;57(6):596-604.</w:t>
      </w:r>
    </w:p>
    <w:p w:rsidR="008C6C87" w:rsidRPr="006926F8" w:rsidRDefault="008C6C87" w:rsidP="00C61469">
      <w:pPr>
        <w:spacing w:line="240" w:lineRule="auto"/>
        <w:jc w:val="both"/>
        <w:rPr>
          <w:rFonts w:ascii="Arial" w:hAnsi="Arial" w:cs="Arial"/>
          <w:b/>
          <w:shd w:val="clear" w:color="auto" w:fill="FFFFFF"/>
        </w:rPr>
      </w:pPr>
      <w:proofErr w:type="spellStart"/>
      <w:r w:rsidRPr="006926F8">
        <w:rPr>
          <w:rFonts w:ascii="Arial" w:hAnsi="Arial" w:cs="Arial"/>
          <w:b/>
          <w:shd w:val="clear" w:color="auto" w:fill="FFFFFF"/>
        </w:rPr>
        <w:t>MNiSW</w:t>
      </w:r>
      <w:proofErr w:type="spellEnd"/>
      <w:r w:rsidRPr="006926F8">
        <w:rPr>
          <w:rFonts w:ascii="Arial" w:hAnsi="Arial" w:cs="Arial"/>
          <w:b/>
          <w:shd w:val="clear" w:color="auto" w:fill="FFFFFF"/>
        </w:rPr>
        <w:t xml:space="preserve"> 3</w:t>
      </w:r>
    </w:p>
    <w:p w:rsidR="001330F7" w:rsidRDefault="001330F7" w:rsidP="00082450">
      <w:pPr>
        <w:spacing w:line="240" w:lineRule="auto"/>
        <w:rPr>
          <w:rFonts w:ascii="Arial" w:hAnsi="Arial" w:cs="Arial"/>
          <w:shd w:val="clear" w:color="auto" w:fill="FFFFFF"/>
          <w:lang w:val="en-US"/>
        </w:rPr>
      </w:pPr>
      <w:r w:rsidRPr="00945A35">
        <w:rPr>
          <w:rFonts w:ascii="Arial" w:hAnsi="Arial" w:cs="Arial"/>
          <w:shd w:val="clear" w:color="auto" w:fill="FFFFFF"/>
        </w:rPr>
        <w:t>Strawa K, Markowska A, Miśkiewicz P, Kuś A,</w:t>
      </w:r>
      <w:r w:rsidRPr="00945A35">
        <w:rPr>
          <w:rStyle w:val="apple-converted-space"/>
          <w:rFonts w:cs="Arial"/>
          <w:shd w:val="clear" w:color="auto" w:fill="FFFFFF"/>
        </w:rPr>
        <w:t> </w:t>
      </w:r>
      <w:r w:rsidRPr="00945A35">
        <w:rPr>
          <w:rFonts w:ascii="Arial" w:hAnsi="Arial" w:cs="Arial"/>
          <w:b/>
          <w:bCs/>
          <w:shd w:val="clear" w:color="auto" w:fill="FFFFFF"/>
        </w:rPr>
        <w:t>Ambroziak U</w:t>
      </w:r>
      <w:r w:rsidRPr="00945A35">
        <w:rPr>
          <w:rFonts w:ascii="Arial" w:hAnsi="Arial" w:cs="Arial"/>
          <w:shd w:val="clear" w:color="auto" w:fill="FFFFFF"/>
        </w:rPr>
        <w:t xml:space="preserve">, Szymański K, Zbiec R, </w:t>
      </w:r>
      <w:proofErr w:type="spellStart"/>
      <w:r w:rsidRPr="00945A35">
        <w:rPr>
          <w:rFonts w:ascii="Arial" w:hAnsi="Arial" w:cs="Arial"/>
          <w:shd w:val="clear" w:color="auto" w:fill="FFFFFF"/>
        </w:rPr>
        <w:t>Spólnicka</w:t>
      </w:r>
      <w:proofErr w:type="spellEnd"/>
      <w:r w:rsidRPr="00945A35">
        <w:rPr>
          <w:rFonts w:ascii="Arial" w:hAnsi="Arial" w:cs="Arial"/>
          <w:shd w:val="clear" w:color="auto" w:fill="FFFFFF"/>
        </w:rPr>
        <w:t xml:space="preserve"> M, Krajewski P, Bednarczuk T, Płoski R.</w:t>
      </w:r>
      <w:r w:rsidRPr="00945A35">
        <w:rPr>
          <w:rFonts w:ascii="Arial" w:hAnsi="Arial" w:cs="Arial"/>
        </w:rPr>
        <w:t xml:space="preserve"> </w:t>
      </w:r>
      <w:hyperlink r:id="rId17" w:history="1">
        <w:r w:rsidRPr="00945A35">
          <w:rPr>
            <w:rStyle w:val="Hipercze"/>
            <w:rFonts w:ascii="Arial" w:hAnsi="Arial" w:cs="Arial"/>
            <w:color w:val="auto"/>
            <w:u w:val="none"/>
            <w:shd w:val="clear" w:color="auto" w:fill="FFFFFF"/>
            <w:lang w:val="en-US"/>
          </w:rPr>
          <w:t>Increased concentration of T-cell receptor rearrangement excision circles (TREC) in peripheral blood in Graves' disease.</w:t>
        </w:r>
      </w:hyperlink>
      <w:r w:rsidRPr="00945A35">
        <w:rPr>
          <w:rStyle w:val="Nagwek3Znak"/>
          <w:rFonts w:eastAsiaTheme="minorHAnsi"/>
          <w:shd w:val="clear" w:color="auto" w:fill="FFFFFF"/>
          <w:lang w:val="en-US"/>
        </w:rPr>
        <w:t xml:space="preserve"> </w:t>
      </w:r>
      <w:proofErr w:type="spellStart"/>
      <w:r w:rsidRPr="001330F7">
        <w:rPr>
          <w:rStyle w:val="jrnl"/>
          <w:rFonts w:ascii="Arial" w:hAnsi="Arial" w:cs="Arial"/>
          <w:shd w:val="clear" w:color="auto" w:fill="FFFFFF"/>
          <w:lang w:val="en-US"/>
        </w:rPr>
        <w:t>Clin</w:t>
      </w:r>
      <w:proofErr w:type="spellEnd"/>
      <w:r w:rsidRPr="001330F7">
        <w:rPr>
          <w:rStyle w:val="jrnl"/>
          <w:rFonts w:ascii="Arial" w:hAnsi="Arial" w:cs="Arial"/>
          <w:shd w:val="clear" w:color="auto" w:fill="FFFFFF"/>
          <w:lang w:val="en-US"/>
        </w:rPr>
        <w:t xml:space="preserve"> </w:t>
      </w:r>
      <w:proofErr w:type="spellStart"/>
      <w:r w:rsidRPr="001330F7">
        <w:rPr>
          <w:rStyle w:val="jrnl"/>
          <w:rFonts w:ascii="Arial" w:hAnsi="Arial" w:cs="Arial"/>
          <w:shd w:val="clear" w:color="auto" w:fill="FFFFFF"/>
          <w:lang w:val="en-US"/>
        </w:rPr>
        <w:t>Endocrinol</w:t>
      </w:r>
      <w:proofErr w:type="spellEnd"/>
      <w:r w:rsidRPr="001330F7">
        <w:rPr>
          <w:rStyle w:val="jrnl"/>
          <w:rFonts w:ascii="Arial" w:hAnsi="Arial" w:cs="Arial"/>
          <w:shd w:val="clear" w:color="auto" w:fill="FFFFFF"/>
          <w:lang w:val="en-US"/>
        </w:rPr>
        <w:t xml:space="preserve"> (</w:t>
      </w:r>
      <w:proofErr w:type="spellStart"/>
      <w:r w:rsidRPr="001330F7">
        <w:rPr>
          <w:rStyle w:val="jrnl"/>
          <w:rFonts w:ascii="Arial" w:hAnsi="Arial" w:cs="Arial"/>
          <w:shd w:val="clear" w:color="auto" w:fill="FFFFFF"/>
          <w:lang w:val="en-US"/>
        </w:rPr>
        <w:t>Oxf</w:t>
      </w:r>
      <w:proofErr w:type="spellEnd"/>
      <w:r w:rsidRPr="001330F7">
        <w:rPr>
          <w:rStyle w:val="jrnl"/>
          <w:rFonts w:ascii="Arial" w:hAnsi="Arial" w:cs="Arial"/>
          <w:shd w:val="clear" w:color="auto" w:fill="FFFFFF"/>
          <w:lang w:val="en-US"/>
        </w:rPr>
        <w:t>)</w:t>
      </w:r>
      <w:r w:rsidRPr="001330F7">
        <w:rPr>
          <w:rFonts w:ascii="Arial" w:hAnsi="Arial" w:cs="Arial"/>
          <w:shd w:val="clear" w:color="auto" w:fill="FFFFFF"/>
          <w:lang w:val="en-US"/>
        </w:rPr>
        <w:t xml:space="preserve">. 2014;81(5):769-74. </w:t>
      </w:r>
    </w:p>
    <w:p w:rsidR="008C6C87" w:rsidRPr="001330F7" w:rsidRDefault="008C6C87" w:rsidP="00C61469">
      <w:pPr>
        <w:spacing w:line="240" w:lineRule="auto"/>
        <w:jc w:val="both"/>
        <w:rPr>
          <w:rStyle w:val="apple-converted-space"/>
          <w:rFonts w:cs="Arial"/>
          <w:shd w:val="clear" w:color="auto" w:fill="FFFFFF"/>
          <w:lang w:val="en-US"/>
        </w:rPr>
      </w:pPr>
      <w:r w:rsidRPr="006926F8">
        <w:rPr>
          <w:rFonts w:ascii="Arial" w:hAnsi="Arial" w:cs="Arial"/>
          <w:b/>
          <w:shd w:val="clear" w:color="auto" w:fill="FFFFFF"/>
          <w:lang w:val="en-US"/>
        </w:rPr>
        <w:lastRenderedPageBreak/>
        <w:t>IF 3,457</w:t>
      </w:r>
      <w:r>
        <w:rPr>
          <w:rFonts w:ascii="Arial" w:hAnsi="Arial" w:cs="Arial"/>
          <w:shd w:val="clear" w:color="auto" w:fill="FFFFFF"/>
          <w:lang w:val="en-US"/>
        </w:rPr>
        <w:t xml:space="preserve"> </w:t>
      </w:r>
      <w:proofErr w:type="spellStart"/>
      <w:r w:rsidRPr="008C6C87">
        <w:rPr>
          <w:rFonts w:ascii="Arial" w:hAnsi="Arial" w:cs="Arial"/>
          <w:b/>
          <w:shd w:val="clear" w:color="auto" w:fill="FFFFFF"/>
          <w:lang w:val="en-US"/>
        </w:rPr>
        <w:t>MNiSW</w:t>
      </w:r>
      <w:proofErr w:type="spellEnd"/>
      <w:r>
        <w:rPr>
          <w:rFonts w:ascii="Arial" w:hAnsi="Arial" w:cs="Arial"/>
          <w:shd w:val="clear" w:color="auto" w:fill="FFFFFF"/>
          <w:lang w:val="en-US"/>
        </w:rPr>
        <w:t xml:space="preserve"> </w:t>
      </w:r>
      <w:r w:rsidRPr="006926F8">
        <w:rPr>
          <w:rFonts w:ascii="Arial" w:hAnsi="Arial" w:cs="Arial"/>
          <w:b/>
          <w:shd w:val="clear" w:color="auto" w:fill="FFFFFF"/>
          <w:lang w:val="en-US"/>
        </w:rPr>
        <w:t>25</w:t>
      </w:r>
    </w:p>
    <w:p w:rsidR="001330F7" w:rsidRPr="006F38B8" w:rsidRDefault="001330F7" w:rsidP="00082450">
      <w:pPr>
        <w:spacing w:line="240" w:lineRule="auto"/>
        <w:rPr>
          <w:rFonts w:ascii="Arial" w:hAnsi="Arial" w:cs="Arial"/>
          <w:shd w:val="clear" w:color="auto" w:fill="FFFFFF"/>
        </w:rPr>
      </w:pPr>
      <w:proofErr w:type="spellStart"/>
      <w:r w:rsidRPr="001507B6">
        <w:rPr>
          <w:rFonts w:ascii="Arial" w:hAnsi="Arial" w:cs="Arial"/>
          <w:shd w:val="clear" w:color="auto" w:fill="FFFFFF"/>
          <w:lang w:val="en-US"/>
        </w:rPr>
        <w:t>Jurecka-Lubieniecka</w:t>
      </w:r>
      <w:proofErr w:type="spellEnd"/>
      <w:r w:rsidRPr="001507B6">
        <w:rPr>
          <w:rFonts w:ascii="Arial" w:hAnsi="Arial" w:cs="Arial"/>
          <w:shd w:val="clear" w:color="auto" w:fill="FFFFFF"/>
          <w:lang w:val="en-US"/>
        </w:rPr>
        <w:t xml:space="preserve"> B, </w:t>
      </w:r>
      <w:proofErr w:type="spellStart"/>
      <w:r w:rsidRPr="001507B6">
        <w:rPr>
          <w:rFonts w:ascii="Arial" w:hAnsi="Arial" w:cs="Arial"/>
          <w:shd w:val="clear" w:color="auto" w:fill="FFFFFF"/>
          <w:lang w:val="en-US"/>
        </w:rPr>
        <w:t>Ploski</w:t>
      </w:r>
      <w:proofErr w:type="spellEnd"/>
      <w:r w:rsidRPr="001507B6">
        <w:rPr>
          <w:rFonts w:ascii="Arial" w:hAnsi="Arial" w:cs="Arial"/>
          <w:shd w:val="clear" w:color="auto" w:fill="FFFFFF"/>
          <w:lang w:val="en-US"/>
        </w:rPr>
        <w:t xml:space="preserve"> R, Kula D, Szymanski K, </w:t>
      </w:r>
      <w:proofErr w:type="spellStart"/>
      <w:r w:rsidRPr="001507B6">
        <w:rPr>
          <w:rFonts w:ascii="Arial" w:hAnsi="Arial" w:cs="Arial"/>
          <w:shd w:val="clear" w:color="auto" w:fill="FFFFFF"/>
          <w:lang w:val="en-US"/>
        </w:rPr>
        <w:t>Bednarczuk</w:t>
      </w:r>
      <w:proofErr w:type="spellEnd"/>
      <w:r w:rsidRPr="001507B6">
        <w:rPr>
          <w:rFonts w:ascii="Arial" w:hAnsi="Arial" w:cs="Arial"/>
          <w:shd w:val="clear" w:color="auto" w:fill="FFFFFF"/>
          <w:lang w:val="en-US"/>
        </w:rPr>
        <w:t xml:space="preserve"> T,</w:t>
      </w:r>
      <w:r w:rsidRPr="001507B6">
        <w:rPr>
          <w:rStyle w:val="apple-converted-space"/>
          <w:rFonts w:cs="Arial"/>
          <w:shd w:val="clear" w:color="auto" w:fill="FFFFFF"/>
          <w:lang w:val="en-US"/>
        </w:rPr>
        <w:t> </w:t>
      </w:r>
      <w:proofErr w:type="spellStart"/>
      <w:r w:rsidRPr="001507B6">
        <w:rPr>
          <w:rFonts w:ascii="Arial" w:hAnsi="Arial" w:cs="Arial"/>
          <w:b/>
          <w:bCs/>
          <w:shd w:val="clear" w:color="auto" w:fill="FFFFFF"/>
          <w:lang w:val="en-US"/>
        </w:rPr>
        <w:t>Ambroziak</w:t>
      </w:r>
      <w:proofErr w:type="spellEnd"/>
      <w:r w:rsidRPr="001507B6">
        <w:rPr>
          <w:rFonts w:ascii="Arial" w:hAnsi="Arial" w:cs="Arial"/>
          <w:b/>
          <w:bCs/>
          <w:shd w:val="clear" w:color="auto" w:fill="FFFFFF"/>
          <w:lang w:val="en-US"/>
        </w:rPr>
        <w:t xml:space="preserve"> U</w:t>
      </w:r>
      <w:r w:rsidRPr="001507B6">
        <w:rPr>
          <w:rFonts w:ascii="Arial" w:hAnsi="Arial" w:cs="Arial"/>
          <w:shd w:val="clear" w:color="auto" w:fill="FFFFFF"/>
          <w:lang w:val="en-US"/>
        </w:rPr>
        <w:t xml:space="preserve">, </w:t>
      </w:r>
      <w:proofErr w:type="spellStart"/>
      <w:r w:rsidRPr="001507B6">
        <w:rPr>
          <w:rFonts w:ascii="Arial" w:hAnsi="Arial" w:cs="Arial"/>
          <w:shd w:val="clear" w:color="auto" w:fill="FFFFFF"/>
          <w:lang w:val="en-US"/>
        </w:rPr>
        <w:t>Hasse</w:t>
      </w:r>
      <w:proofErr w:type="spellEnd"/>
      <w:r w:rsidRPr="001507B6">
        <w:rPr>
          <w:rFonts w:ascii="Arial" w:hAnsi="Arial" w:cs="Arial"/>
          <w:shd w:val="clear" w:color="auto" w:fill="FFFFFF"/>
          <w:lang w:val="en-US"/>
        </w:rPr>
        <w:t xml:space="preserve">-Lazar K, </w:t>
      </w:r>
      <w:proofErr w:type="spellStart"/>
      <w:r w:rsidRPr="001507B6">
        <w:rPr>
          <w:rFonts w:ascii="Arial" w:hAnsi="Arial" w:cs="Arial"/>
          <w:shd w:val="clear" w:color="auto" w:fill="FFFFFF"/>
          <w:lang w:val="en-US"/>
        </w:rPr>
        <w:t>Hyla-Klekot</w:t>
      </w:r>
      <w:proofErr w:type="spellEnd"/>
      <w:r w:rsidRPr="001507B6">
        <w:rPr>
          <w:rFonts w:ascii="Arial" w:hAnsi="Arial" w:cs="Arial"/>
          <w:shd w:val="clear" w:color="auto" w:fill="FFFFFF"/>
          <w:lang w:val="en-US"/>
        </w:rPr>
        <w:t xml:space="preserve"> L, </w:t>
      </w:r>
      <w:proofErr w:type="spellStart"/>
      <w:r w:rsidRPr="001507B6">
        <w:rPr>
          <w:rFonts w:ascii="Arial" w:hAnsi="Arial" w:cs="Arial"/>
          <w:shd w:val="clear" w:color="auto" w:fill="FFFFFF"/>
          <w:lang w:val="en-US"/>
        </w:rPr>
        <w:t>Tukiendorf</w:t>
      </w:r>
      <w:proofErr w:type="spellEnd"/>
      <w:r w:rsidRPr="001507B6">
        <w:rPr>
          <w:rFonts w:ascii="Arial" w:hAnsi="Arial" w:cs="Arial"/>
          <w:shd w:val="clear" w:color="auto" w:fill="FFFFFF"/>
          <w:lang w:val="en-US"/>
        </w:rPr>
        <w:t xml:space="preserve"> A, </w:t>
      </w:r>
      <w:proofErr w:type="spellStart"/>
      <w:r w:rsidRPr="001507B6">
        <w:rPr>
          <w:rFonts w:ascii="Arial" w:hAnsi="Arial" w:cs="Arial"/>
          <w:shd w:val="clear" w:color="auto" w:fill="FFFFFF"/>
          <w:lang w:val="en-US"/>
        </w:rPr>
        <w:t>Kolosza</w:t>
      </w:r>
      <w:proofErr w:type="spellEnd"/>
      <w:r w:rsidRPr="001507B6">
        <w:rPr>
          <w:rFonts w:ascii="Arial" w:hAnsi="Arial" w:cs="Arial"/>
          <w:shd w:val="clear" w:color="auto" w:fill="FFFFFF"/>
          <w:lang w:val="en-US"/>
        </w:rPr>
        <w:t xml:space="preserve"> Z, </w:t>
      </w:r>
      <w:proofErr w:type="spellStart"/>
      <w:r w:rsidRPr="001507B6">
        <w:rPr>
          <w:rFonts w:ascii="Arial" w:hAnsi="Arial" w:cs="Arial"/>
          <w:shd w:val="clear" w:color="auto" w:fill="FFFFFF"/>
          <w:lang w:val="en-US"/>
        </w:rPr>
        <w:t>Jarzab</w:t>
      </w:r>
      <w:proofErr w:type="spellEnd"/>
      <w:r w:rsidRPr="001507B6">
        <w:rPr>
          <w:rFonts w:ascii="Arial" w:hAnsi="Arial" w:cs="Arial"/>
          <w:shd w:val="clear" w:color="auto" w:fill="FFFFFF"/>
          <w:lang w:val="en-US"/>
        </w:rPr>
        <w:t xml:space="preserve"> B.</w:t>
      </w:r>
      <w:r w:rsidRPr="001507B6">
        <w:rPr>
          <w:rFonts w:ascii="Arial" w:hAnsi="Arial" w:cs="Arial"/>
          <w:lang w:val="en-US"/>
        </w:rPr>
        <w:t xml:space="preserve"> </w:t>
      </w:r>
      <w:hyperlink r:id="rId18" w:history="1">
        <w:r w:rsidRPr="001C4010">
          <w:rPr>
            <w:rStyle w:val="Hipercze"/>
            <w:rFonts w:ascii="Arial" w:hAnsi="Arial" w:cs="Arial"/>
            <w:color w:val="auto"/>
            <w:u w:val="none"/>
            <w:shd w:val="clear" w:color="auto" w:fill="FFFFFF"/>
            <w:lang w:val="en-US"/>
          </w:rPr>
          <w:t xml:space="preserve">Association between polymorphisms in the TSHR gene and Graves' </w:t>
        </w:r>
        <w:proofErr w:type="spellStart"/>
        <w:r w:rsidRPr="001C4010">
          <w:rPr>
            <w:rStyle w:val="Hipercze"/>
            <w:rFonts w:ascii="Arial" w:hAnsi="Arial" w:cs="Arial"/>
            <w:color w:val="auto"/>
            <w:u w:val="none"/>
            <w:shd w:val="clear" w:color="auto" w:fill="FFFFFF"/>
            <w:lang w:val="en-US"/>
          </w:rPr>
          <w:t>orbitopathy</w:t>
        </w:r>
        <w:proofErr w:type="spellEnd"/>
        <w:r w:rsidRPr="001C4010">
          <w:rPr>
            <w:rStyle w:val="Hipercze"/>
            <w:rFonts w:ascii="Arial" w:hAnsi="Arial" w:cs="Arial"/>
            <w:color w:val="auto"/>
            <w:u w:val="none"/>
            <w:shd w:val="clear" w:color="auto" w:fill="FFFFFF"/>
            <w:lang w:val="en-US"/>
          </w:rPr>
          <w:t>.</w:t>
        </w:r>
      </w:hyperlink>
      <w:r w:rsidRPr="001C4010">
        <w:rPr>
          <w:rStyle w:val="Nagwek3Znak"/>
          <w:rFonts w:eastAsiaTheme="minorHAnsi"/>
          <w:shd w:val="clear" w:color="auto" w:fill="FFFFFF"/>
          <w:lang w:val="en-US"/>
        </w:rPr>
        <w:t xml:space="preserve"> </w:t>
      </w:r>
      <w:proofErr w:type="spellStart"/>
      <w:r w:rsidRPr="006F38B8">
        <w:rPr>
          <w:rStyle w:val="jrnl"/>
          <w:rFonts w:ascii="Arial" w:hAnsi="Arial" w:cs="Arial"/>
          <w:shd w:val="clear" w:color="auto" w:fill="FFFFFF"/>
        </w:rPr>
        <w:t>PLoS</w:t>
      </w:r>
      <w:proofErr w:type="spellEnd"/>
      <w:r w:rsidRPr="006F38B8">
        <w:rPr>
          <w:rStyle w:val="jrnl"/>
          <w:rFonts w:ascii="Arial" w:hAnsi="Arial" w:cs="Arial"/>
          <w:shd w:val="clear" w:color="auto" w:fill="FFFFFF"/>
        </w:rPr>
        <w:t xml:space="preserve"> One</w:t>
      </w:r>
      <w:r w:rsidRPr="006F38B8">
        <w:rPr>
          <w:rFonts w:ascii="Arial" w:hAnsi="Arial" w:cs="Arial"/>
          <w:shd w:val="clear" w:color="auto" w:fill="FFFFFF"/>
        </w:rPr>
        <w:t xml:space="preserve">. 2014;9(7):e102653. </w:t>
      </w:r>
    </w:p>
    <w:p w:rsidR="008C6C87" w:rsidRPr="008C6C87" w:rsidRDefault="008C6C87" w:rsidP="008C6C87">
      <w:pPr>
        <w:spacing w:line="360" w:lineRule="auto"/>
        <w:jc w:val="both"/>
        <w:rPr>
          <w:rFonts w:ascii="Arial" w:hAnsi="Arial" w:cs="Arial"/>
          <w:shd w:val="clear" w:color="auto" w:fill="FFFFFF"/>
        </w:rPr>
      </w:pPr>
      <w:r w:rsidRPr="008C6C87">
        <w:rPr>
          <w:rFonts w:ascii="Arial" w:hAnsi="Arial" w:cs="Arial"/>
          <w:b/>
          <w:shd w:val="clear" w:color="auto" w:fill="FFFFFF"/>
        </w:rPr>
        <w:t>IF</w:t>
      </w:r>
      <w:r w:rsidRPr="008C6C87">
        <w:rPr>
          <w:rFonts w:ascii="Arial" w:hAnsi="Arial" w:cs="Arial"/>
          <w:shd w:val="clear" w:color="auto" w:fill="FFFFFF"/>
        </w:rPr>
        <w:t xml:space="preserve"> </w:t>
      </w:r>
      <w:r w:rsidRPr="006926F8">
        <w:rPr>
          <w:rFonts w:ascii="Arial" w:hAnsi="Arial" w:cs="Arial"/>
          <w:b/>
          <w:shd w:val="clear" w:color="auto" w:fill="FFFFFF"/>
        </w:rPr>
        <w:t>3,234</w:t>
      </w:r>
      <w:r w:rsidRPr="008C6C87">
        <w:rPr>
          <w:rFonts w:ascii="Arial" w:hAnsi="Arial" w:cs="Arial"/>
          <w:shd w:val="clear" w:color="auto" w:fill="FFFFFF"/>
        </w:rPr>
        <w:t xml:space="preserve"> </w:t>
      </w:r>
      <w:proofErr w:type="spellStart"/>
      <w:r w:rsidRPr="008C6C87">
        <w:rPr>
          <w:rFonts w:ascii="Arial" w:hAnsi="Arial" w:cs="Arial"/>
          <w:b/>
          <w:shd w:val="clear" w:color="auto" w:fill="FFFFFF"/>
        </w:rPr>
        <w:t>MNiSW</w:t>
      </w:r>
      <w:proofErr w:type="spellEnd"/>
      <w:r w:rsidRPr="008C6C87">
        <w:rPr>
          <w:rFonts w:ascii="Arial" w:hAnsi="Arial" w:cs="Arial"/>
          <w:shd w:val="clear" w:color="auto" w:fill="FFFFFF"/>
        </w:rPr>
        <w:t xml:space="preserve"> </w:t>
      </w:r>
      <w:r w:rsidRPr="006926F8">
        <w:rPr>
          <w:rFonts w:ascii="Arial" w:hAnsi="Arial" w:cs="Arial"/>
          <w:b/>
          <w:shd w:val="clear" w:color="auto" w:fill="FFFFFF"/>
        </w:rPr>
        <w:t>40</w:t>
      </w:r>
    </w:p>
    <w:p w:rsidR="00ED5BB9" w:rsidRDefault="00ED5BB9" w:rsidP="008C6C87">
      <w:pPr>
        <w:spacing w:line="360" w:lineRule="auto"/>
        <w:jc w:val="both"/>
        <w:rPr>
          <w:rFonts w:ascii="Arial" w:hAnsi="Arial" w:cs="Arial"/>
          <w:shd w:val="clear" w:color="auto" w:fill="FFFFFF"/>
        </w:rPr>
      </w:pPr>
    </w:p>
    <w:p w:rsidR="001330F7" w:rsidRDefault="00C04EB8" w:rsidP="00ED5BB9">
      <w:pPr>
        <w:spacing w:line="360" w:lineRule="auto"/>
        <w:ind w:firstLine="708"/>
        <w:jc w:val="both"/>
        <w:rPr>
          <w:rFonts w:ascii="Arial" w:hAnsi="Arial" w:cs="Arial"/>
          <w:shd w:val="clear" w:color="auto" w:fill="FFFFFF"/>
        </w:rPr>
      </w:pPr>
      <w:r>
        <w:rPr>
          <w:rFonts w:ascii="Arial" w:hAnsi="Arial" w:cs="Arial"/>
          <w:shd w:val="clear" w:color="auto" w:fill="FFFFFF"/>
        </w:rPr>
        <w:t xml:space="preserve">W </w:t>
      </w:r>
      <w:r w:rsidR="00B979FE">
        <w:rPr>
          <w:rFonts w:ascii="Arial" w:hAnsi="Arial" w:cs="Arial"/>
          <w:shd w:val="clear" w:color="auto" w:fill="FFFFFF"/>
        </w:rPr>
        <w:t xml:space="preserve"> badaniach</w:t>
      </w:r>
      <w:r w:rsidR="00F12DD3" w:rsidRPr="00F12DD3">
        <w:rPr>
          <w:rFonts w:ascii="Arial" w:hAnsi="Arial" w:cs="Arial"/>
          <w:shd w:val="clear" w:color="auto" w:fill="FFFFFF"/>
        </w:rPr>
        <w:t xml:space="preserve"> </w:t>
      </w:r>
      <w:r w:rsidR="00F12DD3">
        <w:rPr>
          <w:rFonts w:ascii="Arial" w:hAnsi="Arial" w:cs="Arial"/>
          <w:shd w:val="clear" w:color="auto" w:fill="FFFFFF"/>
        </w:rPr>
        <w:t>ocenia</w:t>
      </w:r>
      <w:r w:rsidR="00F12DD3" w:rsidRPr="00F12DD3">
        <w:rPr>
          <w:rFonts w:ascii="Arial" w:hAnsi="Arial" w:cs="Arial"/>
          <w:shd w:val="clear" w:color="auto" w:fill="FFFFFF"/>
        </w:rPr>
        <w:t>j</w:t>
      </w:r>
      <w:r w:rsidR="00F12DD3">
        <w:rPr>
          <w:rFonts w:ascii="Arial" w:hAnsi="Arial" w:cs="Arial"/>
          <w:shd w:val="clear" w:color="auto" w:fill="FFFFFF"/>
        </w:rPr>
        <w:t>ą</w:t>
      </w:r>
      <w:r w:rsidR="00F12DD3" w:rsidRPr="00F12DD3">
        <w:rPr>
          <w:rFonts w:ascii="Arial" w:hAnsi="Arial" w:cs="Arial"/>
          <w:shd w:val="clear" w:color="auto" w:fill="FFFFFF"/>
        </w:rPr>
        <w:t>cych efekty wpro</w:t>
      </w:r>
      <w:r w:rsidR="00F12DD3">
        <w:rPr>
          <w:rFonts w:ascii="Arial" w:hAnsi="Arial" w:cs="Arial"/>
          <w:shd w:val="clear" w:color="auto" w:fill="FFFFFF"/>
        </w:rPr>
        <w:t>w</w:t>
      </w:r>
      <w:r w:rsidR="00F12DD3" w:rsidRPr="00F12DD3">
        <w:rPr>
          <w:rFonts w:ascii="Arial" w:hAnsi="Arial" w:cs="Arial"/>
          <w:shd w:val="clear" w:color="auto" w:fill="FFFFFF"/>
        </w:rPr>
        <w:t>adzenia profilaktyki jodowej</w:t>
      </w:r>
      <w:r w:rsidR="00AB7836">
        <w:rPr>
          <w:rFonts w:ascii="Arial" w:hAnsi="Arial" w:cs="Arial"/>
          <w:shd w:val="clear" w:color="auto" w:fill="FFFFFF"/>
        </w:rPr>
        <w:t xml:space="preserve"> w Polsce </w:t>
      </w:r>
      <w:r w:rsidR="00F12DD3">
        <w:rPr>
          <w:rFonts w:ascii="Arial" w:hAnsi="Arial" w:cs="Arial"/>
          <w:shd w:val="clear" w:color="auto" w:fill="FFFFFF"/>
        </w:rPr>
        <w:t xml:space="preserve"> </w:t>
      </w:r>
      <w:r w:rsidR="00AB7836">
        <w:rPr>
          <w:rFonts w:ascii="Arial" w:hAnsi="Arial" w:cs="Arial"/>
          <w:shd w:val="clear" w:color="auto" w:fill="FFFFFF"/>
        </w:rPr>
        <w:t xml:space="preserve">w </w:t>
      </w:r>
      <w:r>
        <w:rPr>
          <w:rFonts w:ascii="Arial" w:hAnsi="Arial" w:cs="Arial"/>
          <w:shd w:val="clear" w:color="auto" w:fill="FFFFFF"/>
        </w:rPr>
        <w:t>ramach Narodowego Programu Eliminacji Zaburzeń z Niedoboru Jodu</w:t>
      </w:r>
      <w:r w:rsidR="00B97FF4">
        <w:rPr>
          <w:rFonts w:ascii="Arial" w:hAnsi="Arial" w:cs="Arial"/>
          <w:shd w:val="clear" w:color="auto" w:fill="FFFFFF"/>
        </w:rPr>
        <w:t xml:space="preserve"> w </w:t>
      </w:r>
      <w:r w:rsidR="00AB7836">
        <w:rPr>
          <w:rFonts w:ascii="Arial" w:hAnsi="Arial" w:cs="Arial"/>
          <w:shd w:val="clear" w:color="auto" w:fill="FFFFFF"/>
        </w:rPr>
        <w:t xml:space="preserve">dwóch poniżej przedstawionych publikacjach </w:t>
      </w:r>
      <w:r w:rsidR="00F12DD3">
        <w:rPr>
          <w:rFonts w:ascii="Arial" w:hAnsi="Arial" w:cs="Arial"/>
          <w:shd w:val="clear" w:color="auto" w:fill="FFFFFF"/>
        </w:rPr>
        <w:t>przeanalizowano w</w:t>
      </w:r>
      <w:r w:rsidR="00AB7836">
        <w:rPr>
          <w:rFonts w:ascii="Arial" w:hAnsi="Arial" w:cs="Arial"/>
          <w:shd w:val="clear" w:color="auto" w:fill="FFFFFF"/>
        </w:rPr>
        <w:t xml:space="preserve">yniki </w:t>
      </w:r>
      <w:proofErr w:type="spellStart"/>
      <w:r w:rsidR="00AB7836">
        <w:rPr>
          <w:rFonts w:ascii="Arial" w:hAnsi="Arial" w:cs="Arial"/>
          <w:shd w:val="clear" w:color="auto" w:fill="FFFFFF"/>
        </w:rPr>
        <w:t>jodurii</w:t>
      </w:r>
      <w:proofErr w:type="spellEnd"/>
      <w:r w:rsidR="00B979FE">
        <w:rPr>
          <w:rFonts w:ascii="Arial" w:hAnsi="Arial" w:cs="Arial"/>
          <w:shd w:val="clear" w:color="auto" w:fill="FFFFFF"/>
        </w:rPr>
        <w:t>,</w:t>
      </w:r>
      <w:r w:rsidR="00AB7836">
        <w:rPr>
          <w:rFonts w:ascii="Arial" w:hAnsi="Arial" w:cs="Arial"/>
          <w:shd w:val="clear" w:color="auto" w:fill="FFFFFF"/>
        </w:rPr>
        <w:t xml:space="preserve"> odzwierciedlającej zaopatrzenie w jod</w:t>
      </w:r>
      <w:r w:rsidR="00B979FE">
        <w:rPr>
          <w:rFonts w:ascii="Arial" w:hAnsi="Arial" w:cs="Arial"/>
          <w:shd w:val="clear" w:color="auto" w:fill="FFFFFF"/>
        </w:rPr>
        <w:t>,</w:t>
      </w:r>
      <w:r w:rsidR="00AB7836">
        <w:rPr>
          <w:rFonts w:ascii="Arial" w:hAnsi="Arial" w:cs="Arial"/>
          <w:shd w:val="clear" w:color="auto" w:fill="FFFFFF"/>
        </w:rPr>
        <w:t xml:space="preserve">  oraz </w:t>
      </w:r>
      <w:r w:rsidR="00ED5BB9">
        <w:rPr>
          <w:rFonts w:ascii="Arial" w:hAnsi="Arial" w:cs="Arial"/>
          <w:shd w:val="clear" w:color="auto" w:fill="FFFFFF"/>
        </w:rPr>
        <w:t xml:space="preserve"> wpływ na rozwój wola w populacji zamieszkującej teren Mazowsza.</w:t>
      </w:r>
      <w:r>
        <w:rPr>
          <w:rFonts w:ascii="Arial" w:hAnsi="Arial" w:cs="Arial"/>
          <w:shd w:val="clear" w:color="auto" w:fill="FFFFFF"/>
        </w:rPr>
        <w:t xml:space="preserve"> </w:t>
      </w:r>
      <w:r w:rsidR="00CD0638">
        <w:rPr>
          <w:rFonts w:ascii="Arial" w:hAnsi="Arial" w:cs="Arial"/>
          <w:shd w:val="clear" w:color="auto" w:fill="FFFFFF"/>
        </w:rPr>
        <w:t xml:space="preserve">Zbadano 541 osób w wieku średnio 49.6±12.1 lat, przewagę stanowiły kobiety -455. </w:t>
      </w:r>
      <w:r>
        <w:rPr>
          <w:rFonts w:ascii="Arial" w:hAnsi="Arial" w:cs="Arial"/>
          <w:shd w:val="clear" w:color="auto" w:fill="FFFFFF"/>
        </w:rPr>
        <w:t xml:space="preserve">Wnioskami z tych badań były: </w:t>
      </w:r>
    </w:p>
    <w:p w:rsidR="00B97FF4" w:rsidRDefault="00B979FE" w:rsidP="00B97FF4">
      <w:pPr>
        <w:pStyle w:val="Akapitzlist"/>
        <w:numPr>
          <w:ilvl w:val="0"/>
          <w:numId w:val="20"/>
        </w:numPr>
        <w:spacing w:line="360" w:lineRule="auto"/>
        <w:ind w:left="709"/>
        <w:jc w:val="both"/>
        <w:rPr>
          <w:rFonts w:ascii="Arial" w:hAnsi="Arial" w:cs="Arial"/>
          <w:shd w:val="clear" w:color="auto" w:fill="FFFFFF"/>
        </w:rPr>
      </w:pPr>
      <w:r>
        <w:rPr>
          <w:rFonts w:ascii="Arial" w:hAnsi="Arial" w:cs="Arial"/>
          <w:shd w:val="clear" w:color="auto" w:fill="FFFFFF"/>
        </w:rPr>
        <w:t>u</w:t>
      </w:r>
      <w:r w:rsidR="00B97FF4" w:rsidRPr="00B97FF4">
        <w:rPr>
          <w:rFonts w:ascii="Arial" w:hAnsi="Arial" w:cs="Arial"/>
          <w:shd w:val="clear" w:color="auto" w:fill="FFFFFF"/>
        </w:rPr>
        <w:t xml:space="preserve"> osób powyżej 60 roku życia, mimo profilaktyki nadal stwierdzano niedostateczn</w:t>
      </w:r>
      <w:r w:rsidR="00B97FF4">
        <w:rPr>
          <w:rFonts w:ascii="Arial" w:hAnsi="Arial" w:cs="Arial"/>
          <w:shd w:val="clear" w:color="auto" w:fill="FFFFFF"/>
        </w:rPr>
        <w:t>ą</w:t>
      </w:r>
      <w:r w:rsidR="00B97FF4" w:rsidRPr="00B97FF4">
        <w:rPr>
          <w:rFonts w:ascii="Arial" w:hAnsi="Arial" w:cs="Arial"/>
          <w:shd w:val="clear" w:color="auto" w:fill="FFFFFF"/>
        </w:rPr>
        <w:t xml:space="preserve"> </w:t>
      </w:r>
      <w:r w:rsidR="00B97FF4">
        <w:rPr>
          <w:rFonts w:ascii="Arial" w:hAnsi="Arial" w:cs="Arial"/>
          <w:shd w:val="clear" w:color="auto" w:fill="FFFFFF"/>
        </w:rPr>
        <w:t>podaż jod</w:t>
      </w:r>
      <w:r w:rsidR="00B97FF4" w:rsidRPr="00B97FF4">
        <w:rPr>
          <w:rFonts w:ascii="Arial" w:hAnsi="Arial" w:cs="Arial"/>
          <w:shd w:val="clear" w:color="auto" w:fill="FFFFFF"/>
        </w:rPr>
        <w:t>u</w:t>
      </w:r>
    </w:p>
    <w:p w:rsidR="00B97FF4" w:rsidRDefault="00B979FE" w:rsidP="00B97FF4">
      <w:pPr>
        <w:pStyle w:val="Akapitzlist"/>
        <w:numPr>
          <w:ilvl w:val="0"/>
          <w:numId w:val="20"/>
        </w:numPr>
        <w:spacing w:line="360" w:lineRule="auto"/>
        <w:ind w:left="709"/>
        <w:jc w:val="both"/>
        <w:rPr>
          <w:rFonts w:ascii="Arial" w:hAnsi="Arial" w:cs="Arial"/>
          <w:shd w:val="clear" w:color="auto" w:fill="FFFFFF"/>
        </w:rPr>
      </w:pPr>
      <w:r>
        <w:rPr>
          <w:rFonts w:ascii="Arial" w:hAnsi="Arial" w:cs="Arial"/>
          <w:shd w:val="clear" w:color="auto" w:fill="FFFFFF"/>
        </w:rPr>
        <w:t>w</w:t>
      </w:r>
      <w:r w:rsidR="00B97FF4">
        <w:rPr>
          <w:rFonts w:ascii="Arial" w:hAnsi="Arial" w:cs="Arial"/>
          <w:shd w:val="clear" w:color="auto" w:fill="FFFFFF"/>
        </w:rPr>
        <w:t xml:space="preserve"> grupie osób starszych w porównaniu w populacją ludzi młodych częściej stwierdzano wole miąższowe i guzkowe</w:t>
      </w:r>
    </w:p>
    <w:p w:rsidR="00C04EB8" w:rsidRPr="00396EDB" w:rsidRDefault="00B979FE" w:rsidP="00396EDB">
      <w:pPr>
        <w:pStyle w:val="Akapitzlist"/>
        <w:numPr>
          <w:ilvl w:val="0"/>
          <w:numId w:val="20"/>
        </w:numPr>
        <w:spacing w:line="360" w:lineRule="auto"/>
        <w:ind w:left="709"/>
        <w:jc w:val="both"/>
        <w:rPr>
          <w:rFonts w:ascii="Arial" w:hAnsi="Arial" w:cs="Arial"/>
          <w:shd w:val="clear" w:color="auto" w:fill="FFFFFF"/>
        </w:rPr>
      </w:pPr>
      <w:r>
        <w:rPr>
          <w:rFonts w:ascii="Arial" w:hAnsi="Arial" w:cs="Arial"/>
          <w:shd w:val="clear" w:color="auto" w:fill="FFFFFF"/>
        </w:rPr>
        <w:t>n</w:t>
      </w:r>
      <w:r w:rsidR="00B97FF4">
        <w:rPr>
          <w:rFonts w:ascii="Arial" w:hAnsi="Arial" w:cs="Arial"/>
          <w:shd w:val="clear" w:color="auto" w:fill="FFFFFF"/>
        </w:rPr>
        <w:t xml:space="preserve">ie stwierdzono zależności pomiędzy ilością ciąż a objętością tarczycy i częstością występowania guzków tarczycy. </w:t>
      </w:r>
      <w:r w:rsidR="00B97FF4" w:rsidRPr="00B97FF4">
        <w:rPr>
          <w:rFonts w:ascii="Arial" w:hAnsi="Arial" w:cs="Arial"/>
          <w:shd w:val="clear" w:color="auto" w:fill="FFFFFF"/>
        </w:rPr>
        <w:t xml:space="preserve"> </w:t>
      </w:r>
    </w:p>
    <w:p w:rsidR="00AA2E55" w:rsidRDefault="00AA2E55" w:rsidP="00082450">
      <w:pPr>
        <w:spacing w:line="240" w:lineRule="auto"/>
        <w:rPr>
          <w:rFonts w:ascii="Arial" w:hAnsi="Arial" w:cs="Arial"/>
          <w:shd w:val="clear" w:color="auto" w:fill="FFFFFF"/>
        </w:rPr>
      </w:pPr>
      <w:r w:rsidRPr="006F38B8">
        <w:rPr>
          <w:rFonts w:ascii="Arial" w:hAnsi="Arial" w:cs="Arial"/>
          <w:shd w:val="clear" w:color="auto" w:fill="FFFFFF"/>
        </w:rPr>
        <w:t xml:space="preserve">Grzesiuk W, </w:t>
      </w:r>
      <w:proofErr w:type="spellStart"/>
      <w:r w:rsidRPr="006F38B8">
        <w:rPr>
          <w:rFonts w:ascii="Arial" w:hAnsi="Arial" w:cs="Arial"/>
          <w:shd w:val="clear" w:color="auto" w:fill="FFFFFF"/>
        </w:rPr>
        <w:t>Szydlarska</w:t>
      </w:r>
      <w:proofErr w:type="spellEnd"/>
      <w:r w:rsidRPr="006F38B8">
        <w:rPr>
          <w:rFonts w:ascii="Arial" w:hAnsi="Arial" w:cs="Arial"/>
          <w:shd w:val="clear" w:color="auto" w:fill="FFFFFF"/>
        </w:rPr>
        <w:t xml:space="preserve"> D, </w:t>
      </w:r>
      <w:proofErr w:type="spellStart"/>
      <w:r w:rsidRPr="006F38B8">
        <w:rPr>
          <w:rFonts w:ascii="Arial" w:hAnsi="Arial" w:cs="Arial"/>
          <w:shd w:val="clear" w:color="auto" w:fill="FFFFFF"/>
        </w:rPr>
        <w:t>Trofimiuk</w:t>
      </w:r>
      <w:proofErr w:type="spellEnd"/>
      <w:r w:rsidRPr="006F38B8">
        <w:rPr>
          <w:rFonts w:ascii="Arial" w:hAnsi="Arial" w:cs="Arial"/>
          <w:shd w:val="clear" w:color="auto" w:fill="FFFFFF"/>
        </w:rPr>
        <w:t xml:space="preserve"> M, Popow M, </w:t>
      </w:r>
      <w:r w:rsidRPr="006F38B8">
        <w:rPr>
          <w:rFonts w:ascii="Arial" w:hAnsi="Arial" w:cs="Arial"/>
          <w:b/>
          <w:shd w:val="clear" w:color="auto" w:fill="FFFFFF"/>
        </w:rPr>
        <w:t>Ambroziak UA</w:t>
      </w:r>
      <w:r w:rsidRPr="006F38B8">
        <w:rPr>
          <w:rFonts w:ascii="Arial" w:hAnsi="Arial" w:cs="Arial"/>
          <w:shd w:val="clear" w:color="auto" w:fill="FFFFFF"/>
        </w:rPr>
        <w:t xml:space="preserve">, Miśkiewicz PS, </w:t>
      </w:r>
      <w:proofErr w:type="spellStart"/>
      <w:r w:rsidRPr="006F38B8">
        <w:rPr>
          <w:rFonts w:ascii="Arial" w:hAnsi="Arial" w:cs="Arial"/>
          <w:shd w:val="clear" w:color="auto" w:fill="FFFFFF"/>
        </w:rPr>
        <w:t>Bar-Andziak</w:t>
      </w:r>
      <w:proofErr w:type="spellEnd"/>
      <w:r w:rsidRPr="006F38B8">
        <w:rPr>
          <w:rFonts w:ascii="Arial" w:hAnsi="Arial" w:cs="Arial"/>
          <w:shd w:val="clear" w:color="auto" w:fill="FFFFFF"/>
        </w:rPr>
        <w:t xml:space="preserve"> E</w:t>
      </w:r>
      <w:r w:rsidR="00726E58">
        <w:rPr>
          <w:rFonts w:ascii="Arial" w:hAnsi="Arial" w:cs="Arial"/>
          <w:shd w:val="clear" w:color="auto" w:fill="FFFFFF"/>
        </w:rPr>
        <w:t>M</w:t>
      </w:r>
      <w:r w:rsidRPr="006F38B8">
        <w:rPr>
          <w:rFonts w:ascii="Arial" w:hAnsi="Arial" w:cs="Arial"/>
          <w:shd w:val="clear" w:color="auto" w:fill="FFFFFF"/>
        </w:rPr>
        <w:t>.</w:t>
      </w:r>
      <w:r w:rsidRPr="006F38B8">
        <w:rPr>
          <w:rFonts w:ascii="Helvetica" w:hAnsi="Helvetica"/>
          <w:color w:val="676767"/>
          <w:sz w:val="18"/>
          <w:szCs w:val="18"/>
          <w:shd w:val="clear" w:color="auto" w:fill="FFFFFF"/>
        </w:rPr>
        <w:t xml:space="preserve"> </w:t>
      </w:r>
      <w:r w:rsidRPr="00ED5BB9">
        <w:rPr>
          <w:rFonts w:ascii="Arial" w:hAnsi="Arial" w:cs="Arial"/>
          <w:shd w:val="clear" w:color="auto" w:fill="FFFFFF"/>
        </w:rPr>
        <w:t>Ocena efektywności profilaktyki jodowej wśród dorosłej popul</w:t>
      </w:r>
      <w:r w:rsidR="008C6C87">
        <w:rPr>
          <w:rFonts w:ascii="Arial" w:hAnsi="Arial" w:cs="Arial"/>
          <w:shd w:val="clear" w:color="auto" w:fill="FFFFFF"/>
        </w:rPr>
        <w:t>acji Mazowsza. Geriatria. 2010;</w:t>
      </w:r>
      <w:r w:rsidRPr="00ED5BB9">
        <w:rPr>
          <w:rFonts w:ascii="Arial" w:hAnsi="Arial" w:cs="Arial"/>
          <w:shd w:val="clear" w:color="auto" w:fill="FFFFFF"/>
        </w:rPr>
        <w:t>4(2):86-93.</w:t>
      </w:r>
    </w:p>
    <w:p w:rsidR="008C6C87" w:rsidRPr="006926F8" w:rsidRDefault="008C6C87" w:rsidP="00082450">
      <w:pPr>
        <w:spacing w:line="240" w:lineRule="auto"/>
        <w:rPr>
          <w:rFonts w:ascii="Arial" w:hAnsi="Arial" w:cs="Arial"/>
          <w:b/>
          <w:shd w:val="clear" w:color="auto" w:fill="FFFFFF"/>
        </w:rPr>
      </w:pPr>
      <w:proofErr w:type="spellStart"/>
      <w:r w:rsidRPr="008C6C87">
        <w:rPr>
          <w:rFonts w:ascii="Arial" w:hAnsi="Arial" w:cs="Arial"/>
          <w:b/>
          <w:shd w:val="clear" w:color="auto" w:fill="FFFFFF"/>
        </w:rPr>
        <w:t>MNiSW</w:t>
      </w:r>
      <w:proofErr w:type="spellEnd"/>
      <w:r>
        <w:rPr>
          <w:rFonts w:ascii="Arial" w:hAnsi="Arial" w:cs="Arial"/>
          <w:shd w:val="clear" w:color="auto" w:fill="FFFFFF"/>
        </w:rPr>
        <w:t xml:space="preserve"> </w:t>
      </w:r>
      <w:r w:rsidRPr="006926F8">
        <w:rPr>
          <w:rFonts w:ascii="Arial" w:hAnsi="Arial" w:cs="Arial"/>
          <w:b/>
          <w:shd w:val="clear" w:color="auto" w:fill="FFFFFF"/>
        </w:rPr>
        <w:t>6</w:t>
      </w:r>
    </w:p>
    <w:p w:rsidR="00AA2E55" w:rsidRDefault="00726E58" w:rsidP="00082450">
      <w:pPr>
        <w:spacing w:line="240" w:lineRule="auto"/>
        <w:rPr>
          <w:rFonts w:ascii="Arial" w:hAnsi="Arial" w:cs="Arial"/>
          <w:shd w:val="clear" w:color="auto" w:fill="FFFFFF"/>
        </w:rPr>
      </w:pPr>
      <w:proofErr w:type="spellStart"/>
      <w:r>
        <w:rPr>
          <w:rFonts w:ascii="Arial" w:hAnsi="Arial" w:cs="Arial"/>
          <w:shd w:val="clear" w:color="auto" w:fill="FFFFFF"/>
        </w:rPr>
        <w:t>Szydlarska</w:t>
      </w:r>
      <w:proofErr w:type="spellEnd"/>
      <w:r>
        <w:rPr>
          <w:rFonts w:ascii="Arial" w:hAnsi="Arial" w:cs="Arial"/>
          <w:shd w:val="clear" w:color="auto" w:fill="FFFFFF"/>
        </w:rPr>
        <w:t xml:space="preserve"> D, Grzesiuk W, </w:t>
      </w:r>
      <w:proofErr w:type="spellStart"/>
      <w:r>
        <w:rPr>
          <w:rFonts w:ascii="Arial" w:hAnsi="Arial" w:cs="Arial"/>
          <w:shd w:val="clear" w:color="auto" w:fill="FFFFFF"/>
        </w:rPr>
        <w:t>Trofimiuk</w:t>
      </w:r>
      <w:proofErr w:type="spellEnd"/>
      <w:r>
        <w:rPr>
          <w:rFonts w:ascii="Arial" w:hAnsi="Arial" w:cs="Arial"/>
          <w:shd w:val="clear" w:color="auto" w:fill="FFFFFF"/>
        </w:rPr>
        <w:t xml:space="preserve"> M, Popow M</w:t>
      </w:r>
      <w:r w:rsidR="00AA2E55" w:rsidRPr="00ED5BB9">
        <w:rPr>
          <w:rFonts w:ascii="Arial" w:hAnsi="Arial" w:cs="Arial"/>
          <w:shd w:val="clear" w:color="auto" w:fill="FFFFFF"/>
        </w:rPr>
        <w:t xml:space="preserve">, </w:t>
      </w:r>
      <w:r w:rsidR="00AA2E55" w:rsidRPr="00ED5BB9">
        <w:rPr>
          <w:rFonts w:ascii="Arial" w:hAnsi="Arial" w:cs="Arial"/>
          <w:b/>
          <w:shd w:val="clear" w:color="auto" w:fill="FFFFFF"/>
        </w:rPr>
        <w:t>Ambroziak UA</w:t>
      </w:r>
      <w:r w:rsidR="00AA2E55" w:rsidRPr="00ED5BB9">
        <w:rPr>
          <w:rFonts w:ascii="Arial" w:hAnsi="Arial" w:cs="Arial"/>
          <w:shd w:val="clear" w:color="auto" w:fill="FFFFFF"/>
        </w:rPr>
        <w:t>, Miśkiewicz PS</w:t>
      </w:r>
      <w:r>
        <w:rPr>
          <w:rFonts w:ascii="Arial" w:hAnsi="Arial" w:cs="Arial"/>
          <w:shd w:val="clear" w:color="auto" w:fill="FFFFFF"/>
        </w:rPr>
        <w:t xml:space="preserve">, </w:t>
      </w:r>
      <w:proofErr w:type="spellStart"/>
      <w:r>
        <w:rPr>
          <w:rFonts w:ascii="Arial" w:hAnsi="Arial" w:cs="Arial"/>
          <w:shd w:val="clear" w:color="auto" w:fill="FFFFFF"/>
        </w:rPr>
        <w:t>Jonas</w:t>
      </w:r>
      <w:proofErr w:type="spellEnd"/>
      <w:r>
        <w:rPr>
          <w:rFonts w:ascii="Arial" w:hAnsi="Arial" w:cs="Arial"/>
          <w:shd w:val="clear" w:color="auto" w:fill="FFFFFF"/>
        </w:rPr>
        <w:t xml:space="preserve"> M</w:t>
      </w:r>
      <w:r w:rsidR="00AA2E55" w:rsidRPr="00ED5BB9">
        <w:rPr>
          <w:rFonts w:ascii="Arial" w:hAnsi="Arial" w:cs="Arial"/>
          <w:shd w:val="clear" w:color="auto" w:fill="FFFFFF"/>
        </w:rPr>
        <w:t xml:space="preserve">, </w:t>
      </w:r>
      <w:proofErr w:type="spellStart"/>
      <w:r w:rsidR="00AA2E55" w:rsidRPr="00ED5BB9">
        <w:rPr>
          <w:rFonts w:ascii="Arial" w:hAnsi="Arial" w:cs="Arial"/>
          <w:shd w:val="clear" w:color="auto" w:fill="FFFFFF"/>
        </w:rPr>
        <w:t>Bar-Andziak</w:t>
      </w:r>
      <w:proofErr w:type="spellEnd"/>
      <w:r w:rsidR="00AA2E55" w:rsidRPr="00ED5BB9">
        <w:rPr>
          <w:rFonts w:ascii="Arial" w:hAnsi="Arial" w:cs="Arial"/>
          <w:shd w:val="clear" w:color="auto" w:fill="FFFFFF"/>
        </w:rPr>
        <w:t xml:space="preserve"> EM.</w:t>
      </w:r>
      <w:r w:rsidR="00AA2E55" w:rsidRPr="00ED5BB9">
        <w:rPr>
          <w:rFonts w:ascii="Helvetica" w:hAnsi="Helvetica"/>
          <w:color w:val="676767"/>
          <w:sz w:val="18"/>
          <w:szCs w:val="18"/>
          <w:shd w:val="clear" w:color="auto" w:fill="FFFFFF"/>
        </w:rPr>
        <w:t xml:space="preserve"> </w:t>
      </w:r>
      <w:r w:rsidR="00AA2E55" w:rsidRPr="00ED5BB9">
        <w:rPr>
          <w:rFonts w:ascii="Arial" w:hAnsi="Arial" w:cs="Arial"/>
          <w:shd w:val="clear" w:color="auto" w:fill="FFFFFF"/>
        </w:rPr>
        <w:t xml:space="preserve">Wpływ liczby urodzeń na objętość tarczycy i jej strukturę. Ginekologia i </w:t>
      </w:r>
      <w:proofErr w:type="spellStart"/>
      <w:r w:rsidR="00AA2E55" w:rsidRPr="00ED5BB9">
        <w:rPr>
          <w:rFonts w:ascii="Arial" w:hAnsi="Arial" w:cs="Arial"/>
          <w:shd w:val="clear" w:color="auto" w:fill="FFFFFF"/>
        </w:rPr>
        <w:t>Położnictwo-medical</w:t>
      </w:r>
      <w:proofErr w:type="spellEnd"/>
      <w:r w:rsidR="00AA2E55" w:rsidRPr="00ED5BB9">
        <w:rPr>
          <w:rFonts w:ascii="Arial" w:hAnsi="Arial" w:cs="Arial"/>
          <w:shd w:val="clear" w:color="auto" w:fill="FFFFFF"/>
        </w:rPr>
        <w:t xml:space="preserve"> Project. 2012;26(4):20-28.</w:t>
      </w:r>
    </w:p>
    <w:p w:rsidR="008C6C87" w:rsidRPr="006926F8" w:rsidRDefault="008C6C87" w:rsidP="00082450">
      <w:pPr>
        <w:spacing w:line="240" w:lineRule="auto"/>
        <w:rPr>
          <w:rFonts w:ascii="Arial" w:hAnsi="Arial" w:cs="Arial"/>
          <w:b/>
          <w:shd w:val="clear" w:color="auto" w:fill="FFFFFF"/>
        </w:rPr>
      </w:pPr>
      <w:proofErr w:type="spellStart"/>
      <w:r w:rsidRPr="008C6C87">
        <w:rPr>
          <w:rFonts w:ascii="Arial" w:hAnsi="Arial" w:cs="Arial"/>
          <w:b/>
          <w:shd w:val="clear" w:color="auto" w:fill="FFFFFF"/>
        </w:rPr>
        <w:t>MNiSW</w:t>
      </w:r>
      <w:proofErr w:type="spellEnd"/>
      <w:r>
        <w:rPr>
          <w:rFonts w:ascii="Arial" w:hAnsi="Arial" w:cs="Arial"/>
          <w:shd w:val="clear" w:color="auto" w:fill="FFFFFF"/>
        </w:rPr>
        <w:t xml:space="preserve"> </w:t>
      </w:r>
      <w:r w:rsidRPr="006926F8">
        <w:rPr>
          <w:rFonts w:ascii="Arial" w:hAnsi="Arial" w:cs="Arial"/>
          <w:b/>
          <w:shd w:val="clear" w:color="auto" w:fill="FFFFFF"/>
        </w:rPr>
        <w:t>6</w:t>
      </w:r>
    </w:p>
    <w:p w:rsidR="00BA478F" w:rsidRDefault="00BA478F" w:rsidP="00BA478F">
      <w:pPr>
        <w:spacing w:line="240" w:lineRule="auto"/>
        <w:jc w:val="both"/>
        <w:rPr>
          <w:rFonts w:ascii="Arial" w:hAnsi="Arial" w:cs="Arial"/>
          <w:shd w:val="clear" w:color="auto" w:fill="FFFFFF"/>
        </w:rPr>
      </w:pPr>
    </w:p>
    <w:p w:rsidR="00C24072" w:rsidRDefault="001F5FCC" w:rsidP="00287F01">
      <w:pPr>
        <w:spacing w:line="360" w:lineRule="auto"/>
        <w:ind w:firstLine="708"/>
        <w:jc w:val="both"/>
        <w:rPr>
          <w:rFonts w:ascii="Arial" w:hAnsi="Arial" w:cs="Arial"/>
          <w:shd w:val="clear" w:color="auto" w:fill="FFFFFF"/>
        </w:rPr>
      </w:pPr>
      <w:r>
        <w:rPr>
          <w:rFonts w:ascii="Arial" w:hAnsi="Arial" w:cs="Arial"/>
          <w:shd w:val="clear" w:color="auto" w:fill="FFFFFF"/>
        </w:rPr>
        <w:t xml:space="preserve">Kolejnym tematem </w:t>
      </w:r>
      <w:r w:rsidR="001330F7">
        <w:rPr>
          <w:rFonts w:ascii="Arial" w:hAnsi="Arial" w:cs="Arial"/>
          <w:shd w:val="clear" w:color="auto" w:fill="FFFFFF"/>
        </w:rPr>
        <w:t xml:space="preserve">badań była ocena kobiet w ciąży </w:t>
      </w:r>
      <w:r w:rsidR="00725C2D">
        <w:rPr>
          <w:rFonts w:ascii="Arial" w:hAnsi="Arial" w:cs="Arial"/>
          <w:shd w:val="clear" w:color="auto" w:fill="FFFFFF"/>
        </w:rPr>
        <w:t xml:space="preserve">pod kątem niedoboru witaminy D i selenu </w:t>
      </w:r>
      <w:r>
        <w:rPr>
          <w:rFonts w:ascii="Arial" w:hAnsi="Arial" w:cs="Arial"/>
          <w:shd w:val="clear" w:color="auto" w:fill="FFFFFF"/>
        </w:rPr>
        <w:t>oraz</w:t>
      </w:r>
      <w:r w:rsidR="00725C2D">
        <w:rPr>
          <w:rFonts w:ascii="Arial" w:hAnsi="Arial" w:cs="Arial"/>
          <w:shd w:val="clear" w:color="auto" w:fill="FFFFFF"/>
        </w:rPr>
        <w:t xml:space="preserve"> wpływu </w:t>
      </w:r>
      <w:r w:rsidR="00787CF2">
        <w:rPr>
          <w:rFonts w:ascii="Arial" w:hAnsi="Arial" w:cs="Arial"/>
          <w:shd w:val="clear" w:color="auto" w:fill="FFFFFF"/>
        </w:rPr>
        <w:t xml:space="preserve">niedoboru selenu </w:t>
      </w:r>
      <w:r w:rsidR="00725C2D">
        <w:rPr>
          <w:rFonts w:ascii="Arial" w:hAnsi="Arial" w:cs="Arial"/>
          <w:shd w:val="clear" w:color="auto" w:fill="FFFFFF"/>
        </w:rPr>
        <w:t>na rozwój autoimmunologicznego zapalenia tarczycy</w:t>
      </w:r>
      <w:r w:rsidR="00CD0638">
        <w:rPr>
          <w:rFonts w:ascii="Arial" w:hAnsi="Arial" w:cs="Arial"/>
          <w:shd w:val="clear" w:color="auto" w:fill="FFFFFF"/>
        </w:rPr>
        <w:t xml:space="preserve">. Badania oceniające zaopatrzenie kobiet w ciąży w selen były przeprowadzone wspólnie z </w:t>
      </w:r>
      <w:r w:rsidR="00C2000C">
        <w:rPr>
          <w:rFonts w:ascii="Arial" w:hAnsi="Arial" w:cs="Arial"/>
          <w:shd w:val="clear" w:color="auto" w:fill="FFFFFF"/>
        </w:rPr>
        <w:t xml:space="preserve">naukowcami z </w:t>
      </w:r>
      <w:proofErr w:type="spellStart"/>
      <w:r w:rsidR="00C2000C" w:rsidRPr="00C2000C">
        <w:rPr>
          <w:rFonts w:ascii="Arial" w:hAnsi="Arial" w:cs="Arial"/>
        </w:rPr>
        <w:t>Institute</w:t>
      </w:r>
      <w:proofErr w:type="spellEnd"/>
      <w:r w:rsidR="00C2000C" w:rsidRPr="00C2000C">
        <w:rPr>
          <w:rFonts w:ascii="Arial" w:hAnsi="Arial" w:cs="Arial"/>
        </w:rPr>
        <w:t xml:space="preserve"> for </w:t>
      </w:r>
      <w:proofErr w:type="spellStart"/>
      <w:r w:rsidR="00C2000C" w:rsidRPr="00C2000C">
        <w:rPr>
          <w:rFonts w:ascii="Arial" w:hAnsi="Arial" w:cs="Arial"/>
        </w:rPr>
        <w:t>Experimental</w:t>
      </w:r>
      <w:proofErr w:type="spellEnd"/>
      <w:r w:rsidR="00C2000C" w:rsidRPr="00C2000C">
        <w:rPr>
          <w:rFonts w:ascii="Arial" w:hAnsi="Arial" w:cs="Arial"/>
        </w:rPr>
        <w:t xml:space="preserve"> </w:t>
      </w:r>
      <w:proofErr w:type="spellStart"/>
      <w:r w:rsidR="00C2000C" w:rsidRPr="00C2000C">
        <w:rPr>
          <w:rFonts w:ascii="Arial" w:hAnsi="Arial" w:cs="Arial"/>
        </w:rPr>
        <w:t>Endocrinology</w:t>
      </w:r>
      <w:proofErr w:type="spellEnd"/>
      <w:r w:rsidR="00C2000C" w:rsidRPr="00C2000C">
        <w:rPr>
          <w:rFonts w:ascii="Arial" w:hAnsi="Arial" w:cs="Arial"/>
        </w:rPr>
        <w:t xml:space="preserve">, </w:t>
      </w:r>
      <w:proofErr w:type="spellStart"/>
      <w:r w:rsidR="00C2000C" w:rsidRPr="00C2000C">
        <w:rPr>
          <w:rFonts w:ascii="Arial" w:hAnsi="Arial" w:cs="Arial"/>
        </w:rPr>
        <w:t>Charité-Universitätsmedizin</w:t>
      </w:r>
      <w:proofErr w:type="spellEnd"/>
      <w:r w:rsidR="00C2000C" w:rsidRPr="00C2000C">
        <w:rPr>
          <w:rFonts w:ascii="Arial" w:hAnsi="Arial" w:cs="Arial"/>
        </w:rPr>
        <w:t xml:space="preserve"> </w:t>
      </w:r>
      <w:r w:rsidR="00C2000C">
        <w:rPr>
          <w:rFonts w:ascii="Arial" w:hAnsi="Arial" w:cs="Arial"/>
        </w:rPr>
        <w:t xml:space="preserve">z </w:t>
      </w:r>
      <w:r w:rsidR="00C2000C" w:rsidRPr="00C2000C">
        <w:rPr>
          <w:rFonts w:ascii="Arial" w:hAnsi="Arial" w:cs="Arial"/>
        </w:rPr>
        <w:t>Berlin</w:t>
      </w:r>
      <w:r w:rsidR="00C2000C">
        <w:rPr>
          <w:rFonts w:ascii="Arial" w:hAnsi="Arial" w:cs="Arial"/>
        </w:rPr>
        <w:t xml:space="preserve">a. Na podstawie tych dwóch badań </w:t>
      </w:r>
      <w:r w:rsidR="00C24072">
        <w:rPr>
          <w:rFonts w:ascii="Arial" w:hAnsi="Arial" w:cs="Arial"/>
          <w:shd w:val="clear" w:color="auto" w:fill="FFFFFF"/>
        </w:rPr>
        <w:t xml:space="preserve">stwierdzono, że: </w:t>
      </w:r>
    </w:p>
    <w:p w:rsidR="00287F01" w:rsidRPr="00B979FE" w:rsidRDefault="00B979FE" w:rsidP="00B979FE">
      <w:pPr>
        <w:pStyle w:val="Akapitzlist"/>
        <w:numPr>
          <w:ilvl w:val="0"/>
          <w:numId w:val="21"/>
        </w:numPr>
        <w:spacing w:line="360" w:lineRule="auto"/>
        <w:ind w:left="709" w:hanging="357"/>
        <w:jc w:val="both"/>
        <w:rPr>
          <w:rFonts w:ascii="Arial" w:hAnsi="Arial" w:cs="Arial"/>
          <w:shd w:val="clear" w:color="auto" w:fill="FFFFFF"/>
        </w:rPr>
      </w:pPr>
      <w:r>
        <w:rPr>
          <w:rFonts w:ascii="Arial" w:hAnsi="Arial" w:cs="Arial"/>
          <w:color w:val="000000"/>
          <w:shd w:val="clear" w:color="auto" w:fill="FFFFFF"/>
        </w:rPr>
        <w:t xml:space="preserve">wśród </w:t>
      </w:r>
      <w:r w:rsidR="00287F01" w:rsidRPr="00287F01">
        <w:rPr>
          <w:rFonts w:ascii="Arial" w:hAnsi="Arial" w:cs="Arial"/>
          <w:color w:val="000000"/>
          <w:shd w:val="clear" w:color="auto" w:fill="FFFFFF"/>
        </w:rPr>
        <w:t xml:space="preserve">ciężarnych kobiet, </w:t>
      </w:r>
      <w:r w:rsidR="00287F01">
        <w:rPr>
          <w:rFonts w:ascii="Arial" w:hAnsi="Arial" w:cs="Arial"/>
          <w:color w:val="000000"/>
          <w:shd w:val="clear" w:color="auto" w:fill="FFFFFF"/>
        </w:rPr>
        <w:t xml:space="preserve">zamieszkujących okolice Mazowsza </w:t>
      </w:r>
      <w:r w:rsidR="00287F01" w:rsidRPr="00287F01">
        <w:rPr>
          <w:rFonts w:ascii="Arial" w:hAnsi="Arial" w:cs="Arial"/>
          <w:color w:val="000000"/>
          <w:shd w:val="clear" w:color="auto" w:fill="FFFFFF"/>
        </w:rPr>
        <w:t>niezależ</w:t>
      </w:r>
      <w:r w:rsidR="00C24072" w:rsidRPr="00287F01">
        <w:rPr>
          <w:rFonts w:ascii="Arial" w:hAnsi="Arial" w:cs="Arial"/>
          <w:color w:val="000000"/>
          <w:shd w:val="clear" w:color="auto" w:fill="FFFFFF"/>
        </w:rPr>
        <w:t xml:space="preserve">nie </w:t>
      </w:r>
      <w:r w:rsidR="00287F01" w:rsidRPr="00287F01">
        <w:rPr>
          <w:rFonts w:ascii="Arial" w:hAnsi="Arial" w:cs="Arial"/>
          <w:color w:val="000000"/>
          <w:shd w:val="clear" w:color="auto" w:fill="FFFFFF"/>
        </w:rPr>
        <w:t>od trymestru</w:t>
      </w:r>
      <w:r w:rsidR="002A2E8E">
        <w:rPr>
          <w:rFonts w:ascii="Arial" w:hAnsi="Arial" w:cs="Arial"/>
          <w:color w:val="000000"/>
          <w:shd w:val="clear" w:color="auto" w:fill="FFFFFF"/>
        </w:rPr>
        <w:t xml:space="preserve"> ciąży </w:t>
      </w:r>
      <w:r w:rsidR="00287F01" w:rsidRPr="00287F01">
        <w:rPr>
          <w:rFonts w:ascii="Arial" w:hAnsi="Arial" w:cs="Arial"/>
          <w:color w:val="000000"/>
          <w:shd w:val="clear" w:color="auto" w:fill="FFFFFF"/>
        </w:rPr>
        <w:t>i pory roku, stwierdzono niedob</w:t>
      </w:r>
      <w:r w:rsidR="00287F01">
        <w:rPr>
          <w:rFonts w:ascii="Arial" w:hAnsi="Arial" w:cs="Arial"/>
          <w:color w:val="000000"/>
          <w:shd w:val="clear" w:color="auto" w:fill="FFFFFF"/>
        </w:rPr>
        <w:t>ó</w:t>
      </w:r>
      <w:r w:rsidR="00287F01" w:rsidRPr="00287F01">
        <w:rPr>
          <w:rFonts w:ascii="Arial" w:hAnsi="Arial" w:cs="Arial"/>
          <w:color w:val="000000"/>
          <w:shd w:val="clear" w:color="auto" w:fill="FFFFFF"/>
        </w:rPr>
        <w:t>r witaminy D</w:t>
      </w:r>
      <w:r w:rsidR="00287F01">
        <w:rPr>
          <w:rFonts w:ascii="Arial" w:hAnsi="Arial" w:cs="Arial"/>
          <w:color w:val="000000"/>
          <w:shd w:val="clear" w:color="auto" w:fill="FFFFFF"/>
        </w:rPr>
        <w:t xml:space="preserve"> (</w:t>
      </w:r>
      <w:r w:rsidR="00287F01" w:rsidRPr="00287F01">
        <w:rPr>
          <w:rFonts w:ascii="Arial" w:hAnsi="Arial" w:cs="Arial"/>
          <w:color w:val="000000"/>
          <w:shd w:val="clear" w:color="auto" w:fill="FFFFFF"/>
        </w:rPr>
        <w:t xml:space="preserve">szczególnie </w:t>
      </w:r>
      <w:r w:rsidR="00287F01">
        <w:rPr>
          <w:rFonts w:ascii="Arial" w:hAnsi="Arial" w:cs="Arial"/>
          <w:color w:val="000000"/>
          <w:shd w:val="clear" w:color="auto" w:fill="FFFFFF"/>
        </w:rPr>
        <w:t xml:space="preserve"> u </w:t>
      </w:r>
      <w:r w:rsidR="00287F01" w:rsidRPr="00287F01">
        <w:rPr>
          <w:rFonts w:ascii="Arial" w:hAnsi="Arial" w:cs="Arial"/>
          <w:color w:val="000000"/>
          <w:shd w:val="clear" w:color="auto" w:fill="FFFFFF"/>
        </w:rPr>
        <w:t xml:space="preserve">kobiet </w:t>
      </w:r>
      <w:r w:rsidR="00287F01" w:rsidRPr="00287F01">
        <w:rPr>
          <w:rFonts w:ascii="Arial" w:hAnsi="Arial" w:cs="Arial"/>
          <w:color w:val="000000"/>
          <w:shd w:val="clear" w:color="auto" w:fill="FFFFFF"/>
        </w:rPr>
        <w:lastRenderedPageBreak/>
        <w:t>otyłych</w:t>
      </w:r>
      <w:r w:rsidR="00287F01">
        <w:rPr>
          <w:rFonts w:ascii="Arial" w:hAnsi="Arial" w:cs="Arial"/>
          <w:color w:val="000000"/>
          <w:shd w:val="clear" w:color="auto" w:fill="FFFFFF"/>
        </w:rPr>
        <w:t>)</w:t>
      </w:r>
      <w:r w:rsidR="00956979">
        <w:rPr>
          <w:rFonts w:ascii="Arial" w:hAnsi="Arial" w:cs="Arial"/>
          <w:color w:val="000000"/>
          <w:shd w:val="clear" w:color="auto" w:fill="FFFFFF"/>
        </w:rPr>
        <w:t xml:space="preserve">, hipowitaminozę (20-30 </w:t>
      </w:r>
      <w:proofErr w:type="spellStart"/>
      <w:r w:rsidR="00956979">
        <w:rPr>
          <w:rFonts w:ascii="Arial" w:hAnsi="Arial" w:cs="Arial"/>
          <w:color w:val="000000"/>
          <w:shd w:val="clear" w:color="auto" w:fill="FFFFFF"/>
        </w:rPr>
        <w:t>n</w:t>
      </w:r>
      <w:r w:rsidR="00726E58">
        <w:rPr>
          <w:rFonts w:ascii="Arial" w:hAnsi="Arial" w:cs="Arial"/>
          <w:color w:val="000000"/>
          <w:shd w:val="clear" w:color="auto" w:fill="FFFFFF"/>
        </w:rPr>
        <w:t>g</w:t>
      </w:r>
      <w:proofErr w:type="spellEnd"/>
      <w:r w:rsidR="00726E58">
        <w:rPr>
          <w:rFonts w:ascii="Arial" w:hAnsi="Arial" w:cs="Arial"/>
          <w:color w:val="000000"/>
          <w:shd w:val="clear" w:color="auto" w:fill="FFFFFF"/>
        </w:rPr>
        <w:t xml:space="preserve">/ml) stwierdzono w 38,7% próbek, niedobór witaminy D (10-20 </w:t>
      </w:r>
      <w:proofErr w:type="spellStart"/>
      <w:r w:rsidR="00726E58">
        <w:rPr>
          <w:rFonts w:ascii="Arial" w:hAnsi="Arial" w:cs="Arial"/>
          <w:color w:val="000000"/>
          <w:shd w:val="clear" w:color="auto" w:fill="FFFFFF"/>
        </w:rPr>
        <w:t>ng</w:t>
      </w:r>
      <w:proofErr w:type="spellEnd"/>
      <w:r w:rsidR="00726E58">
        <w:rPr>
          <w:rFonts w:ascii="Arial" w:hAnsi="Arial" w:cs="Arial"/>
          <w:color w:val="000000"/>
          <w:shd w:val="clear" w:color="auto" w:fill="FFFFFF"/>
        </w:rPr>
        <w:t xml:space="preserve">/ml) w 24 % </w:t>
      </w:r>
      <w:r w:rsidR="001F5FCC">
        <w:rPr>
          <w:rFonts w:ascii="Arial" w:hAnsi="Arial" w:cs="Arial"/>
          <w:color w:val="000000"/>
          <w:shd w:val="clear" w:color="auto" w:fill="FFFFFF"/>
        </w:rPr>
        <w:t xml:space="preserve">próbek i głęboki niedobór (&lt;10 </w:t>
      </w:r>
      <w:proofErr w:type="spellStart"/>
      <w:r w:rsidR="001F5FCC">
        <w:rPr>
          <w:rFonts w:ascii="Arial" w:hAnsi="Arial" w:cs="Arial"/>
          <w:color w:val="000000"/>
          <w:shd w:val="clear" w:color="auto" w:fill="FFFFFF"/>
        </w:rPr>
        <w:t>ng</w:t>
      </w:r>
      <w:proofErr w:type="spellEnd"/>
      <w:r w:rsidR="001F5FCC">
        <w:rPr>
          <w:rFonts w:ascii="Arial" w:hAnsi="Arial" w:cs="Arial"/>
          <w:color w:val="000000"/>
          <w:shd w:val="clear" w:color="auto" w:fill="FFFFFF"/>
        </w:rPr>
        <w:t>/ml</w:t>
      </w:r>
      <w:r w:rsidR="00726E58">
        <w:rPr>
          <w:rFonts w:ascii="Arial" w:hAnsi="Arial" w:cs="Arial"/>
          <w:color w:val="000000"/>
          <w:shd w:val="clear" w:color="auto" w:fill="FFFFFF"/>
        </w:rPr>
        <w:t xml:space="preserve">) w 7,3%.     </w:t>
      </w:r>
      <w:r w:rsidR="00287F01" w:rsidRPr="00B979FE">
        <w:rPr>
          <w:rFonts w:ascii="Arial" w:hAnsi="Arial" w:cs="Arial"/>
          <w:color w:val="000000"/>
          <w:shd w:val="clear" w:color="auto" w:fill="FFFFFF"/>
        </w:rPr>
        <w:t xml:space="preserve"> </w:t>
      </w:r>
    </w:p>
    <w:p w:rsidR="00B45125" w:rsidRPr="00396EDB" w:rsidRDefault="00B979FE" w:rsidP="00396EDB">
      <w:pPr>
        <w:pStyle w:val="Akapitzlist"/>
        <w:numPr>
          <w:ilvl w:val="0"/>
          <w:numId w:val="21"/>
        </w:numPr>
        <w:spacing w:line="360" w:lineRule="auto"/>
        <w:ind w:left="709" w:hanging="357"/>
        <w:jc w:val="both"/>
        <w:rPr>
          <w:rFonts w:ascii="Arial" w:hAnsi="Arial" w:cs="Arial"/>
          <w:shd w:val="clear" w:color="auto" w:fill="FFFFFF"/>
        </w:rPr>
      </w:pPr>
      <w:r>
        <w:rPr>
          <w:rFonts w:ascii="Arial" w:hAnsi="Arial" w:cs="Arial"/>
          <w:shd w:val="clear" w:color="auto" w:fill="FFFFFF"/>
        </w:rPr>
        <w:t>w</w:t>
      </w:r>
      <w:r w:rsidR="00287F01">
        <w:rPr>
          <w:rFonts w:ascii="Arial" w:hAnsi="Arial" w:cs="Arial"/>
          <w:shd w:val="clear" w:color="auto" w:fill="FFFFFF"/>
        </w:rPr>
        <w:t>śród kobiet w ciąży</w:t>
      </w:r>
      <w:r w:rsidR="001F5FCC">
        <w:rPr>
          <w:rFonts w:ascii="Arial" w:hAnsi="Arial" w:cs="Arial"/>
          <w:shd w:val="clear" w:color="auto" w:fill="FFFFFF"/>
        </w:rPr>
        <w:t xml:space="preserve">, </w:t>
      </w:r>
      <w:r w:rsidR="00287F01">
        <w:rPr>
          <w:rFonts w:ascii="Arial" w:hAnsi="Arial" w:cs="Arial"/>
          <w:shd w:val="clear" w:color="auto" w:fill="FFFFFF"/>
        </w:rPr>
        <w:t xml:space="preserve">zamieszkujących okolice Mazowsza </w:t>
      </w:r>
      <w:r w:rsidR="007C19FC">
        <w:rPr>
          <w:rFonts w:ascii="Arial" w:hAnsi="Arial" w:cs="Arial"/>
          <w:shd w:val="clear" w:color="auto" w:fill="FFFFFF"/>
        </w:rPr>
        <w:t xml:space="preserve">oceniając stan zaopatrzenia w selen pomiarem stężenia selenu i </w:t>
      </w:r>
      <w:proofErr w:type="spellStart"/>
      <w:r w:rsidR="007C19FC">
        <w:rPr>
          <w:rFonts w:ascii="Arial" w:hAnsi="Arial" w:cs="Arial"/>
          <w:shd w:val="clear" w:color="auto" w:fill="FFFFFF"/>
        </w:rPr>
        <w:t>selenoproteiny</w:t>
      </w:r>
      <w:proofErr w:type="spellEnd"/>
      <w:r w:rsidR="007C19FC">
        <w:rPr>
          <w:rFonts w:ascii="Arial" w:hAnsi="Arial" w:cs="Arial"/>
          <w:shd w:val="clear" w:color="auto" w:fill="FFFFFF"/>
        </w:rPr>
        <w:t xml:space="preserve"> </w:t>
      </w:r>
      <w:r w:rsidR="000B1866">
        <w:rPr>
          <w:rFonts w:ascii="Arial" w:hAnsi="Arial" w:cs="Arial"/>
          <w:shd w:val="clear" w:color="auto" w:fill="FFFFFF"/>
        </w:rPr>
        <w:t>P</w:t>
      </w:r>
      <w:r w:rsidR="00F11961">
        <w:rPr>
          <w:rFonts w:ascii="Arial" w:hAnsi="Arial" w:cs="Arial"/>
          <w:shd w:val="clear" w:color="auto" w:fill="FFFFFF"/>
        </w:rPr>
        <w:t>,</w:t>
      </w:r>
      <w:r w:rsidR="007C19FC">
        <w:rPr>
          <w:rFonts w:ascii="Arial" w:hAnsi="Arial" w:cs="Arial"/>
          <w:shd w:val="clear" w:color="auto" w:fill="FFFFFF"/>
        </w:rPr>
        <w:t xml:space="preserve"> </w:t>
      </w:r>
      <w:r w:rsidR="00287F01">
        <w:rPr>
          <w:rFonts w:ascii="Arial" w:hAnsi="Arial" w:cs="Arial"/>
          <w:shd w:val="clear" w:color="auto" w:fill="FFFFFF"/>
        </w:rPr>
        <w:t>stwierdzono  niedobór selenu,</w:t>
      </w:r>
      <w:r w:rsidR="000B1866">
        <w:rPr>
          <w:rFonts w:ascii="Arial" w:hAnsi="Arial" w:cs="Arial"/>
          <w:shd w:val="clear" w:color="auto" w:fill="FFFFFF"/>
        </w:rPr>
        <w:t xml:space="preserve"> pogłębiający się </w:t>
      </w:r>
      <w:r w:rsidR="00F11961">
        <w:rPr>
          <w:rFonts w:ascii="Arial" w:hAnsi="Arial" w:cs="Arial"/>
          <w:shd w:val="clear" w:color="auto" w:fill="FFFFFF"/>
        </w:rPr>
        <w:t>w kolejnych trymestrach c</w:t>
      </w:r>
      <w:r w:rsidR="007C19FC">
        <w:rPr>
          <w:rFonts w:ascii="Arial" w:hAnsi="Arial" w:cs="Arial"/>
          <w:shd w:val="clear" w:color="auto" w:fill="FFFFFF"/>
        </w:rPr>
        <w:t>iąży,</w:t>
      </w:r>
      <w:r w:rsidR="00287F01">
        <w:rPr>
          <w:rFonts w:ascii="Arial" w:hAnsi="Arial" w:cs="Arial"/>
          <w:shd w:val="clear" w:color="auto" w:fill="FFFFFF"/>
        </w:rPr>
        <w:t xml:space="preserve"> nie zna</w:t>
      </w:r>
      <w:r w:rsidR="007C19FC">
        <w:rPr>
          <w:rFonts w:ascii="Arial" w:hAnsi="Arial" w:cs="Arial"/>
          <w:shd w:val="clear" w:color="auto" w:fill="FFFFFF"/>
        </w:rPr>
        <w:t xml:space="preserve">leziono </w:t>
      </w:r>
      <w:r w:rsidR="00287F01">
        <w:rPr>
          <w:rFonts w:ascii="Arial" w:hAnsi="Arial" w:cs="Arial"/>
          <w:shd w:val="clear" w:color="auto" w:fill="FFFFFF"/>
        </w:rPr>
        <w:t xml:space="preserve"> jednocześnie związku niedoboru selenu z występowaniem choro</w:t>
      </w:r>
      <w:r w:rsidR="007C19FC">
        <w:rPr>
          <w:rFonts w:ascii="Arial" w:hAnsi="Arial" w:cs="Arial"/>
          <w:shd w:val="clear" w:color="auto" w:fill="FFFFFF"/>
        </w:rPr>
        <w:t>by autoimmunologicznej tarczycy</w:t>
      </w:r>
      <w:r w:rsidR="00377AD5">
        <w:rPr>
          <w:rFonts w:ascii="Arial" w:hAnsi="Arial" w:cs="Arial"/>
          <w:shd w:val="clear" w:color="auto" w:fill="FFFFFF"/>
        </w:rPr>
        <w:t>.</w:t>
      </w:r>
      <w:r w:rsidR="00287F01" w:rsidRPr="00287F01">
        <w:rPr>
          <w:rFonts w:ascii="Arial" w:hAnsi="Arial" w:cs="Arial"/>
          <w:shd w:val="clear" w:color="auto" w:fill="FFFFFF"/>
        </w:rPr>
        <w:t xml:space="preserve">     </w:t>
      </w:r>
    </w:p>
    <w:p w:rsidR="00AA2E55" w:rsidRDefault="00AA2E55" w:rsidP="00082450">
      <w:pPr>
        <w:spacing w:line="240" w:lineRule="auto"/>
        <w:rPr>
          <w:rFonts w:ascii="Arial" w:hAnsi="Arial" w:cs="Arial"/>
          <w:shd w:val="clear" w:color="auto" w:fill="FFFFFF"/>
          <w:lang w:val="en-US"/>
        </w:rPr>
      </w:pPr>
      <w:r w:rsidRPr="00287F01">
        <w:rPr>
          <w:rFonts w:ascii="Arial" w:hAnsi="Arial" w:cs="Arial"/>
          <w:shd w:val="clear" w:color="auto" w:fill="FFFFFF"/>
        </w:rPr>
        <w:t xml:space="preserve">Bartoszewicz Z, Kondracka A, </w:t>
      </w:r>
      <w:proofErr w:type="spellStart"/>
      <w:r w:rsidRPr="00287F01">
        <w:rPr>
          <w:rFonts w:ascii="Arial" w:hAnsi="Arial" w:cs="Arial"/>
          <w:shd w:val="clear" w:color="auto" w:fill="FFFFFF"/>
        </w:rPr>
        <w:t>Krasnodebska-Kiljańska</w:t>
      </w:r>
      <w:proofErr w:type="spellEnd"/>
      <w:r w:rsidRPr="00287F01">
        <w:rPr>
          <w:rFonts w:ascii="Arial" w:hAnsi="Arial" w:cs="Arial"/>
          <w:shd w:val="clear" w:color="auto" w:fill="FFFFFF"/>
        </w:rPr>
        <w:t xml:space="preserve"> M, Niedźwiedzka B, Popow M,</w:t>
      </w:r>
      <w:r w:rsidRPr="00287F01">
        <w:rPr>
          <w:rStyle w:val="apple-converted-space"/>
          <w:rFonts w:cs="Arial"/>
          <w:shd w:val="clear" w:color="auto" w:fill="FFFFFF"/>
        </w:rPr>
        <w:t> </w:t>
      </w:r>
      <w:r w:rsidRPr="00287F01">
        <w:rPr>
          <w:rFonts w:ascii="Arial" w:hAnsi="Arial" w:cs="Arial"/>
          <w:b/>
          <w:bCs/>
          <w:shd w:val="clear" w:color="auto" w:fill="FFFFFF"/>
        </w:rPr>
        <w:t>Ambroziak U</w:t>
      </w:r>
      <w:r w:rsidRPr="00287F01">
        <w:rPr>
          <w:rFonts w:ascii="Arial" w:hAnsi="Arial" w:cs="Arial"/>
          <w:shd w:val="clear" w:color="auto" w:fill="FFFFFF"/>
        </w:rPr>
        <w:t>, Bednarczuk T.</w:t>
      </w:r>
      <w:r w:rsidRPr="00287F01">
        <w:rPr>
          <w:rFonts w:ascii="Arial" w:hAnsi="Arial" w:cs="Arial"/>
        </w:rPr>
        <w:t xml:space="preserve"> </w:t>
      </w:r>
      <w:hyperlink r:id="rId19" w:history="1">
        <w:r w:rsidRPr="00287F01">
          <w:rPr>
            <w:rStyle w:val="Hipercze"/>
            <w:rFonts w:ascii="Arial" w:hAnsi="Arial" w:cs="Arial"/>
            <w:color w:val="auto"/>
            <w:u w:val="none"/>
            <w:shd w:val="clear" w:color="auto" w:fill="FFFFFF"/>
            <w:lang w:val="en-US"/>
          </w:rPr>
          <w:t>Vitamin D insufficiency in healthy pregnant women living in Warsaw.</w:t>
        </w:r>
      </w:hyperlink>
      <w:r w:rsidRPr="00287F01">
        <w:rPr>
          <w:rStyle w:val="Nagwek3Znak"/>
          <w:rFonts w:eastAsiaTheme="minorHAnsi"/>
          <w:shd w:val="clear" w:color="auto" w:fill="FFFFFF"/>
          <w:lang w:val="en-US"/>
        </w:rPr>
        <w:t xml:space="preserve"> </w:t>
      </w:r>
      <w:proofErr w:type="spellStart"/>
      <w:r w:rsidRPr="00287F01">
        <w:rPr>
          <w:rStyle w:val="jrnl"/>
          <w:rFonts w:ascii="Arial" w:hAnsi="Arial" w:cs="Arial"/>
          <w:shd w:val="clear" w:color="auto" w:fill="FFFFFF"/>
          <w:lang w:val="en-US"/>
        </w:rPr>
        <w:t>Ginekol</w:t>
      </w:r>
      <w:proofErr w:type="spellEnd"/>
      <w:r w:rsidRPr="00287F01">
        <w:rPr>
          <w:rStyle w:val="jrnl"/>
          <w:rFonts w:ascii="Arial" w:hAnsi="Arial" w:cs="Arial"/>
          <w:shd w:val="clear" w:color="auto" w:fill="FFFFFF"/>
          <w:lang w:val="en-US"/>
        </w:rPr>
        <w:t xml:space="preserve"> Pol</w:t>
      </w:r>
      <w:r w:rsidRPr="00287F01">
        <w:rPr>
          <w:rFonts w:ascii="Arial" w:hAnsi="Arial" w:cs="Arial"/>
          <w:shd w:val="clear" w:color="auto" w:fill="FFFFFF"/>
          <w:lang w:val="en-US"/>
        </w:rPr>
        <w:t>. 2013;84(5):363-7.</w:t>
      </w:r>
    </w:p>
    <w:p w:rsidR="008C6C87" w:rsidRPr="008C6C87" w:rsidRDefault="008C6C87" w:rsidP="00082450">
      <w:pPr>
        <w:spacing w:line="240" w:lineRule="auto"/>
        <w:rPr>
          <w:rFonts w:ascii="Arial" w:hAnsi="Arial" w:cs="Arial"/>
          <w:b/>
          <w:shd w:val="clear" w:color="auto" w:fill="FFFFFF"/>
          <w:lang w:val="en-US"/>
        </w:rPr>
      </w:pPr>
      <w:r w:rsidRPr="008C6C87">
        <w:rPr>
          <w:rFonts w:ascii="Arial" w:hAnsi="Arial" w:cs="Arial"/>
          <w:b/>
          <w:shd w:val="clear" w:color="auto" w:fill="FFFFFF"/>
          <w:lang w:val="en-US"/>
        </w:rPr>
        <w:t xml:space="preserve">IF </w:t>
      </w:r>
      <w:r w:rsidRPr="006926F8">
        <w:rPr>
          <w:rFonts w:ascii="Arial" w:hAnsi="Arial" w:cs="Arial"/>
          <w:b/>
          <w:shd w:val="clear" w:color="auto" w:fill="FFFFFF"/>
          <w:lang w:val="en-US"/>
        </w:rPr>
        <w:t>0,675</w:t>
      </w:r>
      <w:r>
        <w:rPr>
          <w:rFonts w:ascii="Arial" w:hAnsi="Arial" w:cs="Arial"/>
          <w:b/>
          <w:shd w:val="clear" w:color="auto" w:fill="FFFFFF"/>
          <w:lang w:val="en-US"/>
        </w:rPr>
        <w:t xml:space="preserve"> </w:t>
      </w:r>
      <w:proofErr w:type="spellStart"/>
      <w:r>
        <w:rPr>
          <w:rFonts w:ascii="Arial" w:hAnsi="Arial" w:cs="Arial"/>
          <w:b/>
          <w:shd w:val="clear" w:color="auto" w:fill="FFFFFF"/>
          <w:lang w:val="en-US"/>
        </w:rPr>
        <w:t>MNiSW</w:t>
      </w:r>
      <w:proofErr w:type="spellEnd"/>
      <w:r>
        <w:rPr>
          <w:rFonts w:ascii="Arial" w:hAnsi="Arial" w:cs="Arial"/>
          <w:b/>
          <w:shd w:val="clear" w:color="auto" w:fill="FFFFFF"/>
          <w:lang w:val="en-US"/>
        </w:rPr>
        <w:t xml:space="preserve"> </w:t>
      </w:r>
      <w:r w:rsidRPr="006926F8">
        <w:rPr>
          <w:rFonts w:ascii="Arial" w:hAnsi="Arial" w:cs="Arial"/>
          <w:b/>
          <w:shd w:val="clear" w:color="auto" w:fill="FFFFFF"/>
          <w:lang w:val="en-US"/>
        </w:rPr>
        <w:t>15</w:t>
      </w:r>
      <w:r>
        <w:rPr>
          <w:rFonts w:ascii="Arial" w:hAnsi="Arial" w:cs="Arial"/>
          <w:b/>
          <w:shd w:val="clear" w:color="auto" w:fill="FFFFFF"/>
          <w:lang w:val="en-US"/>
        </w:rPr>
        <w:t xml:space="preserve"> </w:t>
      </w:r>
    </w:p>
    <w:p w:rsidR="00A45E00" w:rsidRDefault="00A45E00" w:rsidP="00082450">
      <w:pPr>
        <w:spacing w:line="240" w:lineRule="auto"/>
        <w:rPr>
          <w:rFonts w:ascii="Arial" w:hAnsi="Arial" w:cs="Arial"/>
          <w:shd w:val="clear" w:color="auto" w:fill="FFFFFF"/>
        </w:rPr>
      </w:pPr>
      <w:proofErr w:type="spellStart"/>
      <w:r w:rsidRPr="004D6BB8">
        <w:rPr>
          <w:rFonts w:ascii="Arial" w:hAnsi="Arial" w:cs="Arial"/>
          <w:b/>
          <w:bCs/>
          <w:shd w:val="clear" w:color="auto" w:fill="FFFFFF"/>
          <w:lang w:val="en-US"/>
        </w:rPr>
        <w:t>Ambroziak</w:t>
      </w:r>
      <w:proofErr w:type="spellEnd"/>
      <w:r w:rsidRPr="004D6BB8">
        <w:rPr>
          <w:rFonts w:ascii="Arial" w:hAnsi="Arial" w:cs="Arial"/>
          <w:b/>
          <w:bCs/>
          <w:shd w:val="clear" w:color="auto" w:fill="FFFFFF"/>
          <w:lang w:val="en-US"/>
        </w:rPr>
        <w:t xml:space="preserve"> U</w:t>
      </w:r>
      <w:r w:rsidRPr="004D6BB8">
        <w:rPr>
          <w:rFonts w:ascii="Arial" w:hAnsi="Arial" w:cs="Arial"/>
          <w:shd w:val="clear" w:color="auto" w:fill="FFFFFF"/>
          <w:lang w:val="en-US"/>
        </w:rPr>
        <w:t xml:space="preserve">, </w:t>
      </w:r>
      <w:proofErr w:type="spellStart"/>
      <w:r w:rsidRPr="004D6BB8">
        <w:rPr>
          <w:rFonts w:ascii="Arial" w:hAnsi="Arial" w:cs="Arial"/>
          <w:shd w:val="clear" w:color="auto" w:fill="FFFFFF"/>
          <w:lang w:val="en-US"/>
        </w:rPr>
        <w:t>Hybsier</w:t>
      </w:r>
      <w:proofErr w:type="spellEnd"/>
      <w:r w:rsidRPr="004D6BB8">
        <w:rPr>
          <w:rFonts w:ascii="Arial" w:hAnsi="Arial" w:cs="Arial"/>
          <w:shd w:val="clear" w:color="auto" w:fill="FFFFFF"/>
          <w:lang w:val="en-US"/>
        </w:rPr>
        <w:t xml:space="preserve"> S, </w:t>
      </w:r>
      <w:proofErr w:type="spellStart"/>
      <w:r w:rsidRPr="004D6BB8">
        <w:rPr>
          <w:rFonts w:ascii="Arial" w:hAnsi="Arial" w:cs="Arial"/>
          <w:shd w:val="clear" w:color="auto" w:fill="FFFFFF"/>
          <w:lang w:val="en-US"/>
        </w:rPr>
        <w:t>Shahnazaryan</w:t>
      </w:r>
      <w:proofErr w:type="spellEnd"/>
      <w:r w:rsidRPr="004D6BB8">
        <w:rPr>
          <w:rFonts w:ascii="Arial" w:hAnsi="Arial" w:cs="Arial"/>
          <w:shd w:val="clear" w:color="auto" w:fill="FFFFFF"/>
          <w:lang w:val="en-US"/>
        </w:rPr>
        <w:t xml:space="preserve"> U, </w:t>
      </w:r>
      <w:proofErr w:type="spellStart"/>
      <w:r w:rsidRPr="004D6BB8">
        <w:rPr>
          <w:rFonts w:ascii="Arial" w:hAnsi="Arial" w:cs="Arial"/>
          <w:shd w:val="clear" w:color="auto" w:fill="FFFFFF"/>
          <w:lang w:val="en-US"/>
        </w:rPr>
        <w:t>Krasnodębska-Kiljańska</w:t>
      </w:r>
      <w:proofErr w:type="spellEnd"/>
      <w:r w:rsidRPr="004D6BB8">
        <w:rPr>
          <w:rFonts w:ascii="Arial" w:hAnsi="Arial" w:cs="Arial"/>
          <w:shd w:val="clear" w:color="auto" w:fill="FFFFFF"/>
          <w:lang w:val="en-US"/>
        </w:rPr>
        <w:t xml:space="preserve"> M, </w:t>
      </w:r>
      <w:proofErr w:type="spellStart"/>
      <w:r w:rsidRPr="004D6BB8">
        <w:rPr>
          <w:rFonts w:ascii="Arial" w:hAnsi="Arial" w:cs="Arial"/>
          <w:shd w:val="clear" w:color="auto" w:fill="FFFFFF"/>
          <w:lang w:val="en-US"/>
        </w:rPr>
        <w:t>Rijntjes</w:t>
      </w:r>
      <w:proofErr w:type="spellEnd"/>
      <w:r w:rsidRPr="004D6BB8">
        <w:rPr>
          <w:rFonts w:ascii="Arial" w:hAnsi="Arial" w:cs="Arial"/>
          <w:shd w:val="clear" w:color="auto" w:fill="FFFFFF"/>
          <w:lang w:val="en-US"/>
        </w:rPr>
        <w:t xml:space="preserve"> E, </w:t>
      </w:r>
      <w:proofErr w:type="spellStart"/>
      <w:r w:rsidRPr="004D6BB8">
        <w:rPr>
          <w:rFonts w:ascii="Arial" w:hAnsi="Arial" w:cs="Arial"/>
          <w:shd w:val="clear" w:color="auto" w:fill="FFFFFF"/>
          <w:lang w:val="en-US"/>
        </w:rPr>
        <w:t>Bartoszewicz</w:t>
      </w:r>
      <w:proofErr w:type="spellEnd"/>
      <w:r w:rsidRPr="004D6BB8">
        <w:rPr>
          <w:rFonts w:ascii="Arial" w:hAnsi="Arial" w:cs="Arial"/>
          <w:shd w:val="clear" w:color="auto" w:fill="FFFFFF"/>
          <w:lang w:val="en-US"/>
        </w:rPr>
        <w:t xml:space="preserve"> Z, </w:t>
      </w:r>
      <w:proofErr w:type="spellStart"/>
      <w:r w:rsidRPr="004D6BB8">
        <w:rPr>
          <w:rFonts w:ascii="Arial" w:hAnsi="Arial" w:cs="Arial"/>
          <w:shd w:val="clear" w:color="auto" w:fill="FFFFFF"/>
          <w:lang w:val="en-US"/>
        </w:rPr>
        <w:t>Bednarczuk</w:t>
      </w:r>
      <w:proofErr w:type="spellEnd"/>
      <w:r w:rsidRPr="004D6BB8">
        <w:rPr>
          <w:rFonts w:ascii="Arial" w:hAnsi="Arial" w:cs="Arial"/>
          <w:shd w:val="clear" w:color="auto" w:fill="FFFFFF"/>
          <w:lang w:val="en-US"/>
        </w:rPr>
        <w:t xml:space="preserve"> T, </w:t>
      </w:r>
      <w:proofErr w:type="spellStart"/>
      <w:r w:rsidRPr="004D6BB8">
        <w:rPr>
          <w:rFonts w:ascii="Arial" w:hAnsi="Arial" w:cs="Arial"/>
          <w:shd w:val="clear" w:color="auto" w:fill="FFFFFF"/>
          <w:lang w:val="en-US"/>
        </w:rPr>
        <w:t>Schomburg</w:t>
      </w:r>
      <w:proofErr w:type="spellEnd"/>
      <w:r w:rsidRPr="004D6BB8">
        <w:rPr>
          <w:rFonts w:ascii="Arial" w:hAnsi="Arial" w:cs="Arial"/>
          <w:shd w:val="clear" w:color="auto" w:fill="FFFFFF"/>
          <w:lang w:val="en-US"/>
        </w:rPr>
        <w:t xml:space="preserve"> L.</w:t>
      </w:r>
      <w:r w:rsidRPr="004D6BB8">
        <w:rPr>
          <w:rFonts w:ascii="Arial" w:hAnsi="Arial" w:cs="Arial"/>
          <w:lang w:val="en-US"/>
        </w:rPr>
        <w:t xml:space="preserve"> </w:t>
      </w:r>
      <w:hyperlink r:id="rId20" w:history="1">
        <w:r w:rsidRPr="00F64455">
          <w:rPr>
            <w:rStyle w:val="Hipercze"/>
            <w:rFonts w:ascii="Arial" w:hAnsi="Arial" w:cs="Arial"/>
            <w:color w:val="auto"/>
            <w:u w:val="none"/>
            <w:shd w:val="clear" w:color="auto" w:fill="FFFFFF"/>
            <w:lang w:val="en-US"/>
          </w:rPr>
          <w:t>Severe selenium deficits in pregnant women irrespective of autoimmune thyroid disease in an area with marginal selenium intake.</w:t>
        </w:r>
      </w:hyperlink>
      <w:r w:rsidRPr="00F64455">
        <w:rPr>
          <w:rStyle w:val="Nagwek3Znak"/>
          <w:rFonts w:eastAsiaTheme="minorHAnsi"/>
          <w:shd w:val="clear" w:color="auto" w:fill="FFFFFF"/>
          <w:lang w:val="en-US"/>
        </w:rPr>
        <w:t xml:space="preserve"> </w:t>
      </w:r>
      <w:r w:rsidRPr="00B62E79">
        <w:rPr>
          <w:rStyle w:val="jrnl"/>
          <w:rFonts w:ascii="Arial" w:hAnsi="Arial" w:cs="Arial"/>
          <w:shd w:val="clear" w:color="auto" w:fill="FFFFFF"/>
        </w:rPr>
        <w:t xml:space="preserve">J </w:t>
      </w:r>
      <w:proofErr w:type="spellStart"/>
      <w:r w:rsidRPr="00B62E79">
        <w:rPr>
          <w:rStyle w:val="jrnl"/>
          <w:rFonts w:ascii="Arial" w:hAnsi="Arial" w:cs="Arial"/>
          <w:shd w:val="clear" w:color="auto" w:fill="FFFFFF"/>
        </w:rPr>
        <w:t>Trace</w:t>
      </w:r>
      <w:proofErr w:type="spellEnd"/>
      <w:r w:rsidRPr="00B62E79">
        <w:rPr>
          <w:rStyle w:val="jrnl"/>
          <w:rFonts w:ascii="Arial" w:hAnsi="Arial" w:cs="Arial"/>
          <w:shd w:val="clear" w:color="auto" w:fill="FFFFFF"/>
        </w:rPr>
        <w:t xml:space="preserve"> </w:t>
      </w:r>
      <w:proofErr w:type="spellStart"/>
      <w:r w:rsidRPr="00B62E79">
        <w:rPr>
          <w:rStyle w:val="jrnl"/>
          <w:rFonts w:ascii="Arial" w:hAnsi="Arial" w:cs="Arial"/>
          <w:shd w:val="clear" w:color="auto" w:fill="FFFFFF"/>
        </w:rPr>
        <w:t>Elem</w:t>
      </w:r>
      <w:proofErr w:type="spellEnd"/>
      <w:r w:rsidRPr="00B62E79">
        <w:rPr>
          <w:rStyle w:val="jrnl"/>
          <w:rFonts w:ascii="Arial" w:hAnsi="Arial" w:cs="Arial"/>
          <w:shd w:val="clear" w:color="auto" w:fill="FFFFFF"/>
        </w:rPr>
        <w:t xml:space="preserve"> </w:t>
      </w:r>
      <w:proofErr w:type="spellStart"/>
      <w:r w:rsidRPr="00B62E79">
        <w:rPr>
          <w:rStyle w:val="jrnl"/>
          <w:rFonts w:ascii="Arial" w:hAnsi="Arial" w:cs="Arial"/>
          <w:shd w:val="clear" w:color="auto" w:fill="FFFFFF"/>
        </w:rPr>
        <w:t>Med</w:t>
      </w:r>
      <w:proofErr w:type="spellEnd"/>
      <w:r w:rsidRPr="00B62E79">
        <w:rPr>
          <w:rStyle w:val="jrnl"/>
          <w:rFonts w:ascii="Arial" w:hAnsi="Arial" w:cs="Arial"/>
          <w:shd w:val="clear" w:color="auto" w:fill="FFFFFF"/>
        </w:rPr>
        <w:t xml:space="preserve"> </w:t>
      </w:r>
      <w:proofErr w:type="spellStart"/>
      <w:r w:rsidRPr="00B62E79">
        <w:rPr>
          <w:rStyle w:val="jrnl"/>
          <w:rFonts w:ascii="Arial" w:hAnsi="Arial" w:cs="Arial"/>
          <w:shd w:val="clear" w:color="auto" w:fill="FFFFFF"/>
        </w:rPr>
        <w:t>Biol</w:t>
      </w:r>
      <w:proofErr w:type="spellEnd"/>
      <w:r w:rsidRPr="00B62E79">
        <w:rPr>
          <w:rFonts w:ascii="Arial" w:hAnsi="Arial" w:cs="Arial"/>
          <w:shd w:val="clear" w:color="auto" w:fill="FFFFFF"/>
        </w:rPr>
        <w:t xml:space="preserve">. 2017;44:186-191. </w:t>
      </w:r>
    </w:p>
    <w:p w:rsidR="00B45125" w:rsidRPr="004D6BB8" w:rsidRDefault="00B45125" w:rsidP="00082450">
      <w:pPr>
        <w:spacing w:line="240" w:lineRule="auto"/>
        <w:rPr>
          <w:rFonts w:ascii="Arial" w:hAnsi="Arial" w:cs="Arial"/>
          <w:shd w:val="clear" w:color="auto" w:fill="FFFFFF"/>
        </w:rPr>
      </w:pPr>
      <w:r w:rsidRPr="004D6BB8">
        <w:rPr>
          <w:rFonts w:ascii="Arial" w:hAnsi="Arial" w:cs="Arial"/>
          <w:b/>
          <w:shd w:val="clear" w:color="auto" w:fill="FFFFFF"/>
        </w:rPr>
        <w:t xml:space="preserve">IF </w:t>
      </w:r>
      <w:r w:rsidRPr="006926F8">
        <w:rPr>
          <w:rFonts w:ascii="Arial" w:hAnsi="Arial" w:cs="Arial"/>
          <w:b/>
          <w:shd w:val="clear" w:color="auto" w:fill="FFFFFF"/>
        </w:rPr>
        <w:t>3,225</w:t>
      </w:r>
      <w:r w:rsidRPr="004D6BB8">
        <w:rPr>
          <w:rFonts w:ascii="Arial" w:hAnsi="Arial" w:cs="Arial"/>
          <w:b/>
          <w:shd w:val="clear" w:color="auto" w:fill="FFFFFF"/>
        </w:rPr>
        <w:t xml:space="preserve"> </w:t>
      </w:r>
      <w:proofErr w:type="spellStart"/>
      <w:r w:rsidRPr="004D6BB8">
        <w:rPr>
          <w:rFonts w:ascii="Arial" w:hAnsi="Arial" w:cs="Arial"/>
          <w:b/>
          <w:shd w:val="clear" w:color="auto" w:fill="FFFFFF"/>
        </w:rPr>
        <w:t>MNiSW</w:t>
      </w:r>
      <w:proofErr w:type="spellEnd"/>
      <w:r w:rsidRPr="004D6BB8">
        <w:rPr>
          <w:rFonts w:ascii="Arial" w:hAnsi="Arial" w:cs="Arial"/>
          <w:b/>
          <w:shd w:val="clear" w:color="auto" w:fill="FFFFFF"/>
        </w:rPr>
        <w:t xml:space="preserve"> </w:t>
      </w:r>
      <w:r w:rsidRPr="006926F8">
        <w:rPr>
          <w:rFonts w:ascii="Arial" w:hAnsi="Arial" w:cs="Arial"/>
          <w:b/>
          <w:shd w:val="clear" w:color="auto" w:fill="FFFFFF"/>
        </w:rPr>
        <w:t>20</w:t>
      </w:r>
    </w:p>
    <w:p w:rsidR="00A45E00" w:rsidRPr="00B62E79" w:rsidRDefault="00A45E00" w:rsidP="00A45E00">
      <w:pPr>
        <w:spacing w:line="360" w:lineRule="auto"/>
        <w:rPr>
          <w:rFonts w:ascii="Arial" w:hAnsi="Arial" w:cs="Arial"/>
          <w:shd w:val="clear" w:color="auto" w:fill="FFFFFF"/>
        </w:rPr>
      </w:pPr>
    </w:p>
    <w:p w:rsidR="00A45E00" w:rsidRDefault="00202808" w:rsidP="00CA6B57">
      <w:pPr>
        <w:spacing w:line="360" w:lineRule="auto"/>
        <w:ind w:firstLine="708"/>
        <w:jc w:val="both"/>
        <w:rPr>
          <w:rFonts w:ascii="Arial" w:hAnsi="Arial" w:cs="Arial"/>
          <w:bCs/>
          <w:shd w:val="clear" w:color="auto" w:fill="FFFFFF"/>
        </w:rPr>
      </w:pPr>
      <w:r>
        <w:rPr>
          <w:rFonts w:ascii="Arial" w:hAnsi="Arial" w:cs="Arial"/>
          <w:bCs/>
          <w:shd w:val="clear" w:color="auto" w:fill="FFFFFF"/>
        </w:rPr>
        <w:t>Gł</w:t>
      </w:r>
      <w:r w:rsidRPr="00202808">
        <w:rPr>
          <w:rFonts w:ascii="Arial" w:hAnsi="Arial" w:cs="Arial"/>
          <w:bCs/>
          <w:shd w:val="clear" w:color="auto" w:fill="FFFFFF"/>
        </w:rPr>
        <w:t>ównym nurtem moich badań pozostawała jednak temat</w:t>
      </w:r>
      <w:r>
        <w:rPr>
          <w:rFonts w:ascii="Arial" w:hAnsi="Arial" w:cs="Arial"/>
          <w:bCs/>
          <w:shd w:val="clear" w:color="auto" w:fill="FFFFFF"/>
        </w:rPr>
        <w:t>yka choró</w:t>
      </w:r>
      <w:r w:rsidR="00D21857">
        <w:rPr>
          <w:rFonts w:ascii="Arial" w:hAnsi="Arial" w:cs="Arial"/>
          <w:bCs/>
          <w:shd w:val="clear" w:color="auto" w:fill="FFFFFF"/>
        </w:rPr>
        <w:t>b nadnerczy</w:t>
      </w:r>
      <w:r>
        <w:rPr>
          <w:rFonts w:ascii="Arial" w:hAnsi="Arial" w:cs="Arial"/>
          <w:bCs/>
          <w:shd w:val="clear" w:color="auto" w:fill="FFFFFF"/>
        </w:rPr>
        <w:t>. Razem ze studentami</w:t>
      </w:r>
      <w:r w:rsidR="00B979FE">
        <w:rPr>
          <w:rFonts w:ascii="Arial" w:hAnsi="Arial" w:cs="Arial"/>
          <w:bCs/>
          <w:shd w:val="clear" w:color="auto" w:fill="FFFFFF"/>
        </w:rPr>
        <w:t>,</w:t>
      </w:r>
      <w:r>
        <w:rPr>
          <w:rFonts w:ascii="Arial" w:hAnsi="Arial" w:cs="Arial"/>
          <w:bCs/>
          <w:shd w:val="clear" w:color="auto" w:fill="FFFFFF"/>
        </w:rPr>
        <w:t xml:space="preserve"> we współpracy z chirurgami </w:t>
      </w:r>
      <w:r w:rsidR="00CA6B57">
        <w:rPr>
          <w:rFonts w:ascii="Arial" w:hAnsi="Arial" w:cs="Arial"/>
          <w:bCs/>
          <w:shd w:val="clear" w:color="auto" w:fill="FFFFFF"/>
        </w:rPr>
        <w:t>z Kliniki Chirurgii Ogólnej i Endokrynologicznej W</w:t>
      </w:r>
      <w:r w:rsidR="00082450">
        <w:rPr>
          <w:rFonts w:ascii="Arial" w:hAnsi="Arial" w:cs="Arial"/>
          <w:bCs/>
          <w:shd w:val="clear" w:color="auto" w:fill="FFFFFF"/>
        </w:rPr>
        <w:t xml:space="preserve">arszawskiego </w:t>
      </w:r>
      <w:r w:rsidR="00CA6B57">
        <w:rPr>
          <w:rFonts w:ascii="Arial" w:hAnsi="Arial" w:cs="Arial"/>
          <w:bCs/>
          <w:shd w:val="clear" w:color="auto" w:fill="FFFFFF"/>
        </w:rPr>
        <w:t>U</w:t>
      </w:r>
      <w:r w:rsidR="00082450">
        <w:rPr>
          <w:rFonts w:ascii="Arial" w:hAnsi="Arial" w:cs="Arial"/>
          <w:bCs/>
          <w:shd w:val="clear" w:color="auto" w:fill="FFFFFF"/>
        </w:rPr>
        <w:t xml:space="preserve">niwersytetu </w:t>
      </w:r>
      <w:r w:rsidR="00CA6B57">
        <w:rPr>
          <w:rFonts w:ascii="Arial" w:hAnsi="Arial" w:cs="Arial"/>
          <w:bCs/>
          <w:shd w:val="clear" w:color="auto" w:fill="FFFFFF"/>
        </w:rPr>
        <w:t>M</w:t>
      </w:r>
      <w:r w:rsidR="00082450">
        <w:rPr>
          <w:rFonts w:ascii="Arial" w:hAnsi="Arial" w:cs="Arial"/>
          <w:bCs/>
          <w:shd w:val="clear" w:color="auto" w:fill="FFFFFF"/>
        </w:rPr>
        <w:t>edycznego</w:t>
      </w:r>
      <w:r w:rsidR="00CA6B57">
        <w:rPr>
          <w:rFonts w:ascii="Arial" w:hAnsi="Arial" w:cs="Arial"/>
          <w:bCs/>
          <w:shd w:val="clear" w:color="auto" w:fill="FFFFFF"/>
        </w:rPr>
        <w:t xml:space="preserve"> </w:t>
      </w:r>
      <w:r>
        <w:rPr>
          <w:rFonts w:ascii="Arial" w:hAnsi="Arial" w:cs="Arial"/>
          <w:bCs/>
          <w:shd w:val="clear" w:color="auto" w:fill="FFFFFF"/>
        </w:rPr>
        <w:t>i anestezjologami</w:t>
      </w:r>
      <w:r w:rsidR="00CA6B57">
        <w:rPr>
          <w:rFonts w:ascii="Arial" w:hAnsi="Arial" w:cs="Arial"/>
          <w:bCs/>
          <w:shd w:val="clear" w:color="auto" w:fill="FFFFFF"/>
        </w:rPr>
        <w:t xml:space="preserve"> z I Katedry Anestezjologii W</w:t>
      </w:r>
      <w:r w:rsidR="00082450">
        <w:rPr>
          <w:rFonts w:ascii="Arial" w:hAnsi="Arial" w:cs="Arial"/>
          <w:bCs/>
          <w:shd w:val="clear" w:color="auto" w:fill="FFFFFF"/>
        </w:rPr>
        <w:t xml:space="preserve">arszawskiego </w:t>
      </w:r>
      <w:r w:rsidR="00CA6B57">
        <w:rPr>
          <w:rFonts w:ascii="Arial" w:hAnsi="Arial" w:cs="Arial"/>
          <w:bCs/>
          <w:shd w:val="clear" w:color="auto" w:fill="FFFFFF"/>
        </w:rPr>
        <w:t>U</w:t>
      </w:r>
      <w:r w:rsidR="00082450">
        <w:rPr>
          <w:rFonts w:ascii="Arial" w:hAnsi="Arial" w:cs="Arial"/>
          <w:bCs/>
          <w:shd w:val="clear" w:color="auto" w:fill="FFFFFF"/>
        </w:rPr>
        <w:t xml:space="preserve">niwersytetu </w:t>
      </w:r>
      <w:r w:rsidR="00CA6B57">
        <w:rPr>
          <w:rFonts w:ascii="Arial" w:hAnsi="Arial" w:cs="Arial"/>
          <w:bCs/>
          <w:shd w:val="clear" w:color="auto" w:fill="FFFFFF"/>
        </w:rPr>
        <w:t>M</w:t>
      </w:r>
      <w:r w:rsidR="00082450">
        <w:rPr>
          <w:rFonts w:ascii="Arial" w:hAnsi="Arial" w:cs="Arial"/>
          <w:bCs/>
          <w:shd w:val="clear" w:color="auto" w:fill="FFFFFF"/>
        </w:rPr>
        <w:t xml:space="preserve">edycznego </w:t>
      </w:r>
      <w:r>
        <w:rPr>
          <w:rFonts w:ascii="Arial" w:hAnsi="Arial" w:cs="Arial"/>
          <w:bCs/>
          <w:shd w:val="clear" w:color="auto" w:fill="FFFFFF"/>
        </w:rPr>
        <w:t xml:space="preserve">przeanalizowaliśmy </w:t>
      </w:r>
      <w:r w:rsidR="00CA6B57">
        <w:rPr>
          <w:rFonts w:ascii="Arial" w:hAnsi="Arial" w:cs="Arial"/>
          <w:bCs/>
          <w:shd w:val="clear" w:color="auto" w:fill="FFFFFF"/>
        </w:rPr>
        <w:t>wyniki przygotowania farmakologicznego do operacji pacjentów z guzem chromochłonnym oraz oceniliśmy wyniki operacji laparoskopowych guzów nadnerczy.</w:t>
      </w:r>
      <w:r w:rsidR="00B979FE">
        <w:rPr>
          <w:rFonts w:ascii="Arial" w:hAnsi="Arial" w:cs="Arial"/>
          <w:bCs/>
          <w:shd w:val="clear" w:color="auto" w:fill="FFFFFF"/>
        </w:rPr>
        <w:t xml:space="preserve"> Wnioskami z tych badań były:</w:t>
      </w:r>
    </w:p>
    <w:p w:rsidR="00AA02B7" w:rsidRDefault="00F11961" w:rsidP="00B979FE">
      <w:pPr>
        <w:pStyle w:val="Akapitzlist"/>
        <w:numPr>
          <w:ilvl w:val="0"/>
          <w:numId w:val="22"/>
        </w:numPr>
        <w:spacing w:line="360" w:lineRule="auto"/>
        <w:ind w:left="709"/>
        <w:jc w:val="both"/>
        <w:rPr>
          <w:rFonts w:ascii="Arial" w:hAnsi="Arial" w:cs="Arial"/>
          <w:bCs/>
          <w:shd w:val="clear" w:color="auto" w:fill="FFFFFF"/>
        </w:rPr>
      </w:pPr>
      <w:r>
        <w:rPr>
          <w:rFonts w:ascii="Arial" w:hAnsi="Arial" w:cs="Arial"/>
          <w:bCs/>
          <w:shd w:val="clear" w:color="auto" w:fill="FFFFFF"/>
        </w:rPr>
        <w:t>brak</w:t>
      </w:r>
      <w:r w:rsidR="00AA02B7">
        <w:rPr>
          <w:rFonts w:ascii="Arial" w:hAnsi="Arial" w:cs="Arial"/>
          <w:bCs/>
          <w:shd w:val="clear" w:color="auto" w:fill="FFFFFF"/>
        </w:rPr>
        <w:t xml:space="preserve"> istotnych różnic w zakresie wpływu na okołooperacyjny stan hemodynamiczny pomiędzy pacjentami przygotowywanymi do operacji guza chromochłonnego </w:t>
      </w:r>
      <w:proofErr w:type="spellStart"/>
      <w:r w:rsidR="00AA02B7">
        <w:rPr>
          <w:rFonts w:ascii="Arial" w:hAnsi="Arial" w:cs="Arial"/>
          <w:bCs/>
          <w:shd w:val="clear" w:color="auto" w:fill="FFFFFF"/>
        </w:rPr>
        <w:t>doksazosyną</w:t>
      </w:r>
      <w:proofErr w:type="spellEnd"/>
      <w:r w:rsidR="00AA02B7">
        <w:rPr>
          <w:rFonts w:ascii="Arial" w:hAnsi="Arial" w:cs="Arial"/>
          <w:bCs/>
          <w:shd w:val="clear" w:color="auto" w:fill="FFFFFF"/>
        </w:rPr>
        <w:t xml:space="preserve"> i </w:t>
      </w:r>
      <w:proofErr w:type="spellStart"/>
      <w:r w:rsidR="00AA02B7">
        <w:rPr>
          <w:rFonts w:ascii="Arial" w:hAnsi="Arial" w:cs="Arial"/>
          <w:bCs/>
          <w:shd w:val="clear" w:color="auto" w:fill="FFFFFF"/>
        </w:rPr>
        <w:t>fenoksybenz</w:t>
      </w:r>
      <w:r w:rsidR="0054342F">
        <w:rPr>
          <w:rFonts w:ascii="Arial" w:hAnsi="Arial" w:cs="Arial"/>
          <w:bCs/>
          <w:shd w:val="clear" w:color="auto" w:fill="FFFFFF"/>
        </w:rPr>
        <w:t>a</w:t>
      </w:r>
      <w:r w:rsidR="00AA02B7">
        <w:rPr>
          <w:rFonts w:ascii="Arial" w:hAnsi="Arial" w:cs="Arial"/>
          <w:bCs/>
          <w:shd w:val="clear" w:color="auto" w:fill="FFFFFF"/>
        </w:rPr>
        <w:t>miną</w:t>
      </w:r>
      <w:proofErr w:type="spellEnd"/>
      <w:r w:rsidR="00690035">
        <w:rPr>
          <w:rFonts w:ascii="Arial" w:hAnsi="Arial" w:cs="Arial"/>
          <w:bCs/>
          <w:shd w:val="clear" w:color="auto" w:fill="FFFFFF"/>
        </w:rPr>
        <w:t xml:space="preserve"> w zakresie wahań ciśnienia tętniczego w trakcie operacji jak pooperacyjnego spadku ciśnienia.   </w:t>
      </w:r>
    </w:p>
    <w:p w:rsidR="00B979FE" w:rsidRPr="00B979FE" w:rsidRDefault="00AA02B7" w:rsidP="00B979FE">
      <w:pPr>
        <w:pStyle w:val="Akapitzlist"/>
        <w:numPr>
          <w:ilvl w:val="0"/>
          <w:numId w:val="22"/>
        </w:numPr>
        <w:spacing w:line="360" w:lineRule="auto"/>
        <w:ind w:left="709"/>
        <w:jc w:val="both"/>
        <w:rPr>
          <w:rFonts w:ascii="Arial" w:hAnsi="Arial" w:cs="Arial"/>
          <w:bCs/>
          <w:shd w:val="clear" w:color="auto" w:fill="FFFFFF"/>
        </w:rPr>
      </w:pPr>
      <w:proofErr w:type="spellStart"/>
      <w:r>
        <w:rPr>
          <w:rFonts w:ascii="Arial" w:hAnsi="Arial" w:cs="Arial"/>
          <w:bCs/>
          <w:shd w:val="clear" w:color="auto" w:fill="FFFFFF"/>
        </w:rPr>
        <w:t>adrenalektomia</w:t>
      </w:r>
      <w:proofErr w:type="spellEnd"/>
      <w:r>
        <w:rPr>
          <w:rFonts w:ascii="Arial" w:hAnsi="Arial" w:cs="Arial"/>
          <w:bCs/>
          <w:shd w:val="clear" w:color="auto" w:fill="FFFFFF"/>
        </w:rPr>
        <w:t xml:space="preserve"> laparo</w:t>
      </w:r>
      <w:r w:rsidR="00690035">
        <w:rPr>
          <w:rFonts w:ascii="Arial" w:hAnsi="Arial" w:cs="Arial"/>
          <w:bCs/>
          <w:shd w:val="clear" w:color="auto" w:fill="FFFFFF"/>
        </w:rPr>
        <w:t>s</w:t>
      </w:r>
      <w:r>
        <w:rPr>
          <w:rFonts w:ascii="Arial" w:hAnsi="Arial" w:cs="Arial"/>
          <w:bCs/>
          <w:shd w:val="clear" w:color="auto" w:fill="FFFFFF"/>
        </w:rPr>
        <w:t>kopowa jest sku</w:t>
      </w:r>
      <w:r w:rsidR="00124B74">
        <w:rPr>
          <w:rFonts w:ascii="Arial" w:hAnsi="Arial" w:cs="Arial"/>
          <w:bCs/>
          <w:shd w:val="clear" w:color="auto" w:fill="FFFFFF"/>
        </w:rPr>
        <w:t>t</w:t>
      </w:r>
      <w:r>
        <w:rPr>
          <w:rFonts w:ascii="Arial" w:hAnsi="Arial" w:cs="Arial"/>
          <w:bCs/>
          <w:shd w:val="clear" w:color="auto" w:fill="FFFFFF"/>
        </w:rPr>
        <w:t xml:space="preserve">eczną i bezpieczną metodą operacyjną guzów nadnerczy.  </w:t>
      </w:r>
    </w:p>
    <w:p w:rsidR="00A45E00" w:rsidRDefault="00A45E00" w:rsidP="00082450">
      <w:pPr>
        <w:rPr>
          <w:rFonts w:ascii="Arial" w:hAnsi="Arial" w:cs="Arial"/>
          <w:shd w:val="clear" w:color="auto" w:fill="FFFFFF"/>
        </w:rPr>
      </w:pPr>
      <w:r w:rsidRPr="00202808">
        <w:rPr>
          <w:rFonts w:ascii="Arial" w:hAnsi="Arial" w:cs="Arial"/>
          <w:shd w:val="clear" w:color="auto" w:fill="FFFFFF"/>
        </w:rPr>
        <w:t xml:space="preserve">Malec K, Miśkiewicz P, Witkowska A, Krajewska E, </w:t>
      </w:r>
      <w:proofErr w:type="spellStart"/>
      <w:r w:rsidRPr="00202808">
        <w:rPr>
          <w:rFonts w:ascii="Arial" w:hAnsi="Arial" w:cs="Arial"/>
          <w:shd w:val="clear" w:color="auto" w:fill="FFFFFF"/>
        </w:rPr>
        <w:t>Toutounchi</w:t>
      </w:r>
      <w:proofErr w:type="spellEnd"/>
      <w:r w:rsidRPr="00202808">
        <w:rPr>
          <w:rFonts w:ascii="Arial" w:hAnsi="Arial" w:cs="Arial"/>
          <w:shd w:val="clear" w:color="auto" w:fill="FFFFFF"/>
        </w:rPr>
        <w:t xml:space="preserve"> S, Gałązka Z, Piotrowski M, Kącka A, Bednarczuk T,</w:t>
      </w:r>
      <w:r w:rsidRPr="00202808">
        <w:rPr>
          <w:rStyle w:val="apple-converted-space"/>
          <w:rFonts w:cs="Arial"/>
          <w:shd w:val="clear" w:color="auto" w:fill="FFFFFF"/>
        </w:rPr>
        <w:t> </w:t>
      </w:r>
      <w:r w:rsidRPr="00202808">
        <w:rPr>
          <w:rFonts w:ascii="Arial" w:hAnsi="Arial" w:cs="Arial"/>
          <w:b/>
          <w:bCs/>
          <w:shd w:val="clear" w:color="auto" w:fill="FFFFFF"/>
        </w:rPr>
        <w:t>Ambroziak U</w:t>
      </w:r>
      <w:r w:rsidR="00202808" w:rsidRPr="00202808">
        <w:rPr>
          <w:rFonts w:ascii="Arial" w:hAnsi="Arial" w:cs="Arial"/>
          <w:b/>
          <w:bCs/>
          <w:shd w:val="clear" w:color="auto" w:fill="FFFFFF"/>
        </w:rPr>
        <w:t xml:space="preserve"> (a</w:t>
      </w:r>
      <w:r w:rsidR="00202808">
        <w:rPr>
          <w:rFonts w:ascii="Arial" w:hAnsi="Arial" w:cs="Arial"/>
          <w:b/>
          <w:bCs/>
          <w:shd w:val="clear" w:color="auto" w:fill="FFFFFF"/>
        </w:rPr>
        <w:t>utor kor</w:t>
      </w:r>
      <w:r w:rsidR="00202808" w:rsidRPr="00202808">
        <w:rPr>
          <w:rFonts w:ascii="Arial" w:hAnsi="Arial" w:cs="Arial"/>
          <w:b/>
          <w:bCs/>
          <w:shd w:val="clear" w:color="auto" w:fill="FFFFFF"/>
        </w:rPr>
        <w:t>espondencyjny)</w:t>
      </w:r>
      <w:r w:rsidRPr="00202808">
        <w:rPr>
          <w:rFonts w:ascii="Arial" w:hAnsi="Arial" w:cs="Arial"/>
          <w:shd w:val="clear" w:color="auto" w:fill="FFFFFF"/>
        </w:rPr>
        <w:t>.</w:t>
      </w:r>
      <w:r w:rsidRPr="00202808">
        <w:rPr>
          <w:rFonts w:ascii="Arial" w:hAnsi="Arial" w:cs="Arial"/>
        </w:rPr>
        <w:t xml:space="preserve"> </w:t>
      </w:r>
      <w:hyperlink r:id="rId21" w:history="1">
        <w:r w:rsidRPr="005F2E96">
          <w:rPr>
            <w:rStyle w:val="Hipercze"/>
            <w:rFonts w:ascii="Arial" w:hAnsi="Arial" w:cs="Arial"/>
            <w:color w:val="auto"/>
            <w:u w:val="none"/>
            <w:shd w:val="clear" w:color="auto" w:fill="FFFFFF"/>
            <w:lang w:val="en-US"/>
          </w:rPr>
          <w:t xml:space="preserve">Comparison of </w:t>
        </w:r>
        <w:proofErr w:type="spellStart"/>
        <w:r w:rsidRPr="005F2E96">
          <w:rPr>
            <w:rStyle w:val="Hipercze"/>
            <w:rFonts w:ascii="Arial" w:hAnsi="Arial" w:cs="Arial"/>
            <w:color w:val="auto"/>
            <w:u w:val="none"/>
            <w:shd w:val="clear" w:color="auto" w:fill="FFFFFF"/>
            <w:lang w:val="en-US"/>
          </w:rPr>
          <w:t>phenoxybenzamine</w:t>
        </w:r>
        <w:proofErr w:type="spellEnd"/>
        <w:r w:rsidRPr="005F2E96">
          <w:rPr>
            <w:rStyle w:val="Hipercze"/>
            <w:rFonts w:ascii="Arial" w:hAnsi="Arial" w:cs="Arial"/>
            <w:color w:val="auto"/>
            <w:u w:val="none"/>
            <w:shd w:val="clear" w:color="auto" w:fill="FFFFFF"/>
            <w:lang w:val="en-US"/>
          </w:rPr>
          <w:t xml:space="preserve"> and </w:t>
        </w:r>
        <w:proofErr w:type="spellStart"/>
        <w:r w:rsidRPr="005F2E96">
          <w:rPr>
            <w:rStyle w:val="Hipercze"/>
            <w:rFonts w:ascii="Arial" w:hAnsi="Arial" w:cs="Arial"/>
            <w:color w:val="auto"/>
            <w:u w:val="none"/>
            <w:shd w:val="clear" w:color="auto" w:fill="FFFFFF"/>
            <w:lang w:val="en-US"/>
          </w:rPr>
          <w:t>doxazosin</w:t>
        </w:r>
        <w:proofErr w:type="spellEnd"/>
        <w:r w:rsidRPr="005F2E96">
          <w:rPr>
            <w:rStyle w:val="Hipercze"/>
            <w:rFonts w:ascii="Arial" w:hAnsi="Arial" w:cs="Arial"/>
            <w:color w:val="auto"/>
            <w:u w:val="none"/>
            <w:shd w:val="clear" w:color="auto" w:fill="FFFFFF"/>
            <w:lang w:val="en-US"/>
          </w:rPr>
          <w:t xml:space="preserve"> in </w:t>
        </w:r>
        <w:proofErr w:type="spellStart"/>
        <w:r w:rsidRPr="005F2E96">
          <w:rPr>
            <w:rStyle w:val="Hipercze"/>
            <w:rFonts w:ascii="Arial" w:hAnsi="Arial" w:cs="Arial"/>
            <w:color w:val="auto"/>
            <w:u w:val="none"/>
            <w:shd w:val="clear" w:color="auto" w:fill="FFFFFF"/>
            <w:lang w:val="en-US"/>
          </w:rPr>
          <w:t>perioperative</w:t>
        </w:r>
        <w:proofErr w:type="spellEnd"/>
        <w:r w:rsidRPr="005F2E96">
          <w:rPr>
            <w:rStyle w:val="Hipercze"/>
            <w:rFonts w:ascii="Arial" w:hAnsi="Arial" w:cs="Arial"/>
            <w:color w:val="auto"/>
            <w:u w:val="none"/>
            <w:shd w:val="clear" w:color="auto" w:fill="FFFFFF"/>
            <w:lang w:val="en-US"/>
          </w:rPr>
          <w:t xml:space="preserve"> management of patients with </w:t>
        </w:r>
        <w:proofErr w:type="spellStart"/>
        <w:r w:rsidRPr="005F2E96">
          <w:rPr>
            <w:rStyle w:val="Hipercze"/>
            <w:rFonts w:ascii="Arial" w:hAnsi="Arial" w:cs="Arial"/>
            <w:color w:val="auto"/>
            <w:u w:val="none"/>
            <w:shd w:val="clear" w:color="auto" w:fill="FFFFFF"/>
            <w:lang w:val="en-US"/>
          </w:rPr>
          <w:t>pheochromocytoma</w:t>
        </w:r>
        <w:proofErr w:type="spellEnd"/>
        <w:r w:rsidRPr="005F2E96">
          <w:rPr>
            <w:rStyle w:val="Hipercze"/>
            <w:rFonts w:ascii="Arial" w:hAnsi="Arial" w:cs="Arial"/>
            <w:color w:val="auto"/>
            <w:u w:val="none"/>
            <w:shd w:val="clear" w:color="auto" w:fill="FFFFFF"/>
            <w:lang w:val="en-US"/>
          </w:rPr>
          <w:t>.</w:t>
        </w:r>
      </w:hyperlink>
      <w:r w:rsidRPr="005F2E96">
        <w:rPr>
          <w:rStyle w:val="Nagwek3Znak"/>
          <w:rFonts w:eastAsiaTheme="minorHAnsi"/>
          <w:shd w:val="clear" w:color="auto" w:fill="FFFFFF"/>
          <w:lang w:val="en-US"/>
        </w:rPr>
        <w:t xml:space="preserve"> </w:t>
      </w:r>
      <w:r w:rsidRPr="005F2E96">
        <w:rPr>
          <w:rStyle w:val="jrnl"/>
          <w:rFonts w:ascii="Arial" w:hAnsi="Arial" w:cs="Arial"/>
          <w:shd w:val="clear" w:color="auto" w:fill="FFFFFF"/>
        </w:rPr>
        <w:t>Kardiol Pol</w:t>
      </w:r>
      <w:r w:rsidRPr="005F2E96">
        <w:rPr>
          <w:rFonts w:ascii="Arial" w:hAnsi="Arial" w:cs="Arial"/>
          <w:shd w:val="clear" w:color="auto" w:fill="FFFFFF"/>
        </w:rPr>
        <w:t xml:space="preserve">. 2017;75(11):1192-1198. </w:t>
      </w:r>
    </w:p>
    <w:p w:rsidR="00B45125" w:rsidRPr="006926F8" w:rsidRDefault="00B45125" w:rsidP="00082450">
      <w:pPr>
        <w:rPr>
          <w:rFonts w:ascii="Arial" w:hAnsi="Arial" w:cs="Arial"/>
          <w:b/>
        </w:rPr>
      </w:pPr>
      <w:r w:rsidRPr="00B45125">
        <w:rPr>
          <w:rFonts w:ascii="Arial" w:hAnsi="Arial" w:cs="Arial"/>
          <w:b/>
          <w:shd w:val="clear" w:color="auto" w:fill="FFFFFF"/>
        </w:rPr>
        <w:t>IF</w:t>
      </w:r>
      <w:r>
        <w:rPr>
          <w:rFonts w:ascii="Arial" w:hAnsi="Arial" w:cs="Arial"/>
          <w:shd w:val="clear" w:color="auto" w:fill="FFFFFF"/>
        </w:rPr>
        <w:t xml:space="preserve"> </w:t>
      </w:r>
      <w:r w:rsidRPr="006926F8">
        <w:rPr>
          <w:rFonts w:ascii="Arial" w:hAnsi="Arial" w:cs="Arial"/>
          <w:b/>
          <w:shd w:val="clear" w:color="auto" w:fill="FFFFFF"/>
        </w:rPr>
        <w:t>1,341</w:t>
      </w:r>
      <w:r>
        <w:rPr>
          <w:rFonts w:ascii="Arial" w:hAnsi="Arial" w:cs="Arial"/>
          <w:shd w:val="clear" w:color="auto" w:fill="FFFFFF"/>
        </w:rPr>
        <w:t xml:space="preserve"> </w:t>
      </w:r>
      <w:proofErr w:type="spellStart"/>
      <w:r w:rsidRPr="006926F8">
        <w:rPr>
          <w:rFonts w:ascii="Arial" w:hAnsi="Arial" w:cs="Arial"/>
          <w:b/>
          <w:shd w:val="clear" w:color="auto" w:fill="FFFFFF"/>
        </w:rPr>
        <w:t>MNiSW</w:t>
      </w:r>
      <w:proofErr w:type="spellEnd"/>
      <w:r w:rsidRPr="006926F8">
        <w:rPr>
          <w:rFonts w:ascii="Arial" w:hAnsi="Arial" w:cs="Arial"/>
          <w:b/>
          <w:shd w:val="clear" w:color="auto" w:fill="FFFFFF"/>
        </w:rPr>
        <w:t xml:space="preserve"> 15</w:t>
      </w:r>
    </w:p>
    <w:p w:rsidR="00CA6B57" w:rsidRDefault="00CA6B57" w:rsidP="00082450">
      <w:pPr>
        <w:spacing w:line="240" w:lineRule="auto"/>
        <w:rPr>
          <w:rFonts w:ascii="Arial" w:hAnsi="Arial" w:cs="Arial"/>
          <w:shd w:val="clear" w:color="auto" w:fill="FFFFFF"/>
        </w:rPr>
      </w:pPr>
      <w:r w:rsidRPr="005F2E96">
        <w:rPr>
          <w:rFonts w:ascii="Arial" w:hAnsi="Arial" w:cs="Arial"/>
          <w:shd w:val="clear" w:color="auto" w:fill="FFFFFF"/>
        </w:rPr>
        <w:lastRenderedPageBreak/>
        <w:t xml:space="preserve">Pogorzelski R, </w:t>
      </w:r>
      <w:proofErr w:type="spellStart"/>
      <w:r w:rsidRPr="005F2E96">
        <w:rPr>
          <w:rFonts w:ascii="Arial" w:hAnsi="Arial" w:cs="Arial"/>
          <w:shd w:val="clear" w:color="auto" w:fill="FFFFFF"/>
        </w:rPr>
        <w:t>Toutounchi</w:t>
      </w:r>
      <w:proofErr w:type="spellEnd"/>
      <w:r w:rsidRPr="005F2E96">
        <w:rPr>
          <w:rFonts w:ascii="Arial" w:hAnsi="Arial" w:cs="Arial"/>
          <w:shd w:val="clear" w:color="auto" w:fill="FFFFFF"/>
        </w:rPr>
        <w:t xml:space="preserve"> S, Krajewska E, Fiszer P, Kącka A, Piotrowski M, Szostek M, Wołoszko T, </w:t>
      </w:r>
      <w:proofErr w:type="spellStart"/>
      <w:r w:rsidRPr="005F2E96">
        <w:rPr>
          <w:rFonts w:ascii="Arial" w:hAnsi="Arial" w:cs="Arial"/>
          <w:shd w:val="clear" w:color="auto" w:fill="FFFFFF"/>
        </w:rPr>
        <w:t>Celejewski</w:t>
      </w:r>
      <w:proofErr w:type="spellEnd"/>
      <w:r w:rsidRPr="005F2E96">
        <w:rPr>
          <w:rFonts w:ascii="Arial" w:hAnsi="Arial" w:cs="Arial"/>
          <w:shd w:val="clear" w:color="auto" w:fill="FFFFFF"/>
        </w:rPr>
        <w:t xml:space="preserve"> K,</w:t>
      </w:r>
      <w:r w:rsidRPr="005F2E96">
        <w:rPr>
          <w:rStyle w:val="apple-converted-space"/>
          <w:rFonts w:cs="Arial"/>
          <w:shd w:val="clear" w:color="auto" w:fill="FFFFFF"/>
        </w:rPr>
        <w:t> </w:t>
      </w:r>
      <w:r w:rsidRPr="005F2E96">
        <w:rPr>
          <w:rFonts w:ascii="Arial" w:hAnsi="Arial" w:cs="Arial"/>
          <w:b/>
          <w:bCs/>
          <w:shd w:val="clear" w:color="auto" w:fill="FFFFFF"/>
        </w:rPr>
        <w:t>Ambroziak U</w:t>
      </w:r>
      <w:r w:rsidRPr="005F2E96">
        <w:rPr>
          <w:rFonts w:ascii="Arial" w:hAnsi="Arial" w:cs="Arial"/>
          <w:shd w:val="clear" w:color="auto" w:fill="FFFFFF"/>
        </w:rPr>
        <w:t>, Bednarczuk T, Gałązka Z.</w:t>
      </w:r>
      <w:r w:rsidRPr="005F2E96">
        <w:rPr>
          <w:rFonts w:ascii="Arial" w:hAnsi="Arial" w:cs="Arial"/>
        </w:rPr>
        <w:t xml:space="preserve"> </w:t>
      </w:r>
      <w:hyperlink r:id="rId22" w:history="1">
        <w:r w:rsidRPr="005F2E96">
          <w:rPr>
            <w:rStyle w:val="Hipercze"/>
            <w:rFonts w:ascii="Arial" w:hAnsi="Arial" w:cs="Arial"/>
            <w:color w:val="auto"/>
            <w:u w:val="none"/>
            <w:shd w:val="clear" w:color="auto" w:fill="FFFFFF"/>
            <w:lang w:val="en-US"/>
          </w:rPr>
          <w:t xml:space="preserve">The usefulness of laparoscopic </w:t>
        </w:r>
        <w:proofErr w:type="spellStart"/>
        <w:r w:rsidRPr="005F2E96">
          <w:rPr>
            <w:rStyle w:val="Hipercze"/>
            <w:rFonts w:ascii="Arial" w:hAnsi="Arial" w:cs="Arial"/>
            <w:color w:val="auto"/>
            <w:u w:val="none"/>
            <w:shd w:val="clear" w:color="auto" w:fill="FFFFFF"/>
            <w:lang w:val="en-US"/>
          </w:rPr>
          <w:t>adrenalectomy</w:t>
        </w:r>
        <w:proofErr w:type="spellEnd"/>
        <w:r w:rsidRPr="005F2E96">
          <w:rPr>
            <w:rStyle w:val="Hipercze"/>
            <w:rFonts w:ascii="Arial" w:hAnsi="Arial" w:cs="Arial"/>
            <w:color w:val="auto"/>
            <w:u w:val="none"/>
            <w:shd w:val="clear" w:color="auto" w:fill="FFFFFF"/>
            <w:lang w:val="en-US"/>
          </w:rPr>
          <w:t xml:space="preserve"> in the treatment of adrenal </w:t>
        </w:r>
        <w:proofErr w:type="spellStart"/>
        <w:r w:rsidRPr="005F2E96">
          <w:rPr>
            <w:rStyle w:val="Hipercze"/>
            <w:rFonts w:ascii="Arial" w:hAnsi="Arial" w:cs="Arial"/>
            <w:color w:val="auto"/>
            <w:u w:val="none"/>
            <w:shd w:val="clear" w:color="auto" w:fill="FFFFFF"/>
            <w:lang w:val="en-US"/>
          </w:rPr>
          <w:t>neoplasms</w:t>
        </w:r>
        <w:proofErr w:type="spellEnd"/>
        <w:r w:rsidRPr="005F2E96">
          <w:rPr>
            <w:rStyle w:val="Hipercze"/>
            <w:rFonts w:ascii="Arial" w:hAnsi="Arial" w:cs="Arial"/>
            <w:color w:val="auto"/>
            <w:u w:val="none"/>
            <w:shd w:val="clear" w:color="auto" w:fill="FFFFFF"/>
            <w:lang w:val="en-US"/>
          </w:rPr>
          <w:t xml:space="preserve"> - a single-centre experience.</w:t>
        </w:r>
      </w:hyperlink>
      <w:r w:rsidRPr="005F2E96">
        <w:rPr>
          <w:rStyle w:val="Nagwek3Znak"/>
          <w:rFonts w:eastAsiaTheme="minorHAnsi"/>
          <w:shd w:val="clear" w:color="auto" w:fill="FFFFFF"/>
          <w:lang w:val="en-US"/>
        </w:rPr>
        <w:t xml:space="preserve"> </w:t>
      </w:r>
      <w:proofErr w:type="spellStart"/>
      <w:r w:rsidRPr="005F2E96">
        <w:rPr>
          <w:rStyle w:val="jrnl"/>
          <w:rFonts w:ascii="Arial" w:hAnsi="Arial" w:cs="Arial"/>
          <w:shd w:val="clear" w:color="auto" w:fill="FFFFFF"/>
        </w:rPr>
        <w:t>Endokrynol</w:t>
      </w:r>
      <w:proofErr w:type="spellEnd"/>
      <w:r w:rsidRPr="005F2E96">
        <w:rPr>
          <w:rStyle w:val="jrnl"/>
          <w:rFonts w:ascii="Arial" w:hAnsi="Arial" w:cs="Arial"/>
          <w:shd w:val="clear" w:color="auto" w:fill="FFFFFF"/>
        </w:rPr>
        <w:t xml:space="preserve"> Pol</w:t>
      </w:r>
      <w:r w:rsidRPr="005F2E96">
        <w:rPr>
          <w:rFonts w:ascii="Arial" w:hAnsi="Arial" w:cs="Arial"/>
          <w:shd w:val="clear" w:color="auto" w:fill="FFFFFF"/>
        </w:rPr>
        <w:t xml:space="preserve">. 2017;68(4):407-410. </w:t>
      </w:r>
    </w:p>
    <w:p w:rsidR="00B20140" w:rsidRDefault="00B45125" w:rsidP="00082450">
      <w:pPr>
        <w:spacing w:line="360" w:lineRule="auto"/>
        <w:rPr>
          <w:rFonts w:ascii="Arial" w:hAnsi="Arial" w:cs="Arial"/>
          <w:b/>
          <w:shd w:val="clear" w:color="auto" w:fill="FFFFFF"/>
        </w:rPr>
      </w:pPr>
      <w:r w:rsidRPr="00B45125">
        <w:rPr>
          <w:rFonts w:ascii="Arial" w:hAnsi="Arial" w:cs="Arial"/>
          <w:b/>
          <w:shd w:val="clear" w:color="auto" w:fill="FFFFFF"/>
        </w:rPr>
        <w:t>IF</w:t>
      </w:r>
      <w:r>
        <w:rPr>
          <w:rFonts w:ascii="Arial" w:hAnsi="Arial" w:cs="Arial"/>
          <w:shd w:val="clear" w:color="auto" w:fill="FFFFFF"/>
        </w:rPr>
        <w:t xml:space="preserve"> </w:t>
      </w:r>
      <w:r w:rsidRPr="006926F8">
        <w:rPr>
          <w:rFonts w:ascii="Arial" w:hAnsi="Arial" w:cs="Arial"/>
          <w:b/>
          <w:shd w:val="clear" w:color="auto" w:fill="FFFFFF"/>
        </w:rPr>
        <w:t xml:space="preserve">1,341 </w:t>
      </w:r>
      <w:proofErr w:type="spellStart"/>
      <w:r w:rsidRPr="006926F8">
        <w:rPr>
          <w:rFonts w:ascii="Arial" w:hAnsi="Arial" w:cs="Arial"/>
          <w:b/>
          <w:shd w:val="clear" w:color="auto" w:fill="FFFFFF"/>
        </w:rPr>
        <w:t>MNiSW</w:t>
      </w:r>
      <w:proofErr w:type="spellEnd"/>
      <w:r w:rsidRPr="006926F8">
        <w:rPr>
          <w:rFonts w:ascii="Arial" w:hAnsi="Arial" w:cs="Arial"/>
          <w:b/>
          <w:shd w:val="clear" w:color="auto" w:fill="FFFFFF"/>
        </w:rPr>
        <w:t xml:space="preserve"> 15</w:t>
      </w:r>
    </w:p>
    <w:p w:rsidR="00F11961" w:rsidRDefault="00F11961" w:rsidP="00082450">
      <w:pPr>
        <w:spacing w:line="360" w:lineRule="auto"/>
        <w:rPr>
          <w:rFonts w:ascii="Arial" w:hAnsi="Arial" w:cs="Arial"/>
          <w:shd w:val="clear" w:color="auto" w:fill="FFFFFF"/>
        </w:rPr>
      </w:pPr>
    </w:p>
    <w:p w:rsidR="00AA02B7" w:rsidRDefault="00CA6B57" w:rsidP="00B20140">
      <w:pPr>
        <w:spacing w:line="360" w:lineRule="auto"/>
        <w:ind w:firstLine="708"/>
        <w:jc w:val="both"/>
        <w:rPr>
          <w:rFonts w:ascii="Arial" w:hAnsi="Arial" w:cs="Arial"/>
          <w:shd w:val="clear" w:color="auto" w:fill="FFFFFF"/>
        </w:rPr>
      </w:pPr>
      <w:r w:rsidRPr="00CA6B57">
        <w:rPr>
          <w:rFonts w:ascii="Arial" w:hAnsi="Arial" w:cs="Arial"/>
          <w:shd w:val="clear" w:color="auto" w:fill="FFFFFF"/>
        </w:rPr>
        <w:t>We ws</w:t>
      </w:r>
      <w:r w:rsidR="002239AE">
        <w:rPr>
          <w:rFonts w:ascii="Arial" w:hAnsi="Arial" w:cs="Arial"/>
          <w:shd w:val="clear" w:color="auto" w:fill="FFFFFF"/>
        </w:rPr>
        <w:t>półpracy z</w:t>
      </w:r>
      <w:r w:rsidRPr="00CA6B57">
        <w:rPr>
          <w:rFonts w:ascii="Arial" w:hAnsi="Arial" w:cs="Arial"/>
          <w:shd w:val="clear" w:color="auto" w:fill="FFFFFF"/>
        </w:rPr>
        <w:t xml:space="preserve"> </w:t>
      </w:r>
      <w:r w:rsidR="00B20140">
        <w:rPr>
          <w:rFonts w:ascii="Arial" w:hAnsi="Arial" w:cs="Arial"/>
          <w:shd w:val="clear" w:color="auto" w:fill="FFFFFF"/>
        </w:rPr>
        <w:t>Instyt</w:t>
      </w:r>
      <w:r w:rsidR="002239AE">
        <w:rPr>
          <w:rFonts w:ascii="Arial" w:hAnsi="Arial" w:cs="Arial"/>
          <w:shd w:val="clear" w:color="auto" w:fill="FFFFFF"/>
        </w:rPr>
        <w:t>utem</w:t>
      </w:r>
      <w:r w:rsidRPr="00CA6B57">
        <w:rPr>
          <w:rFonts w:ascii="Arial" w:hAnsi="Arial" w:cs="Arial"/>
          <w:shd w:val="clear" w:color="auto" w:fill="FFFFFF"/>
        </w:rPr>
        <w:t xml:space="preserve"> Kardiologii</w:t>
      </w:r>
      <w:r w:rsidR="00B20140">
        <w:rPr>
          <w:rFonts w:ascii="Arial" w:hAnsi="Arial" w:cs="Arial"/>
          <w:shd w:val="clear" w:color="auto" w:fill="FFFFFF"/>
        </w:rPr>
        <w:t xml:space="preserve"> przeanalizowaliśmy wyniki zastosowania cewnikowania żył nadnerczowych </w:t>
      </w:r>
      <w:r w:rsidR="00D80595">
        <w:rPr>
          <w:rFonts w:ascii="Arial" w:hAnsi="Arial" w:cs="Arial"/>
          <w:shd w:val="clear" w:color="auto" w:fill="FFFFFF"/>
        </w:rPr>
        <w:t xml:space="preserve"> (AVS) </w:t>
      </w:r>
      <w:r w:rsidR="00B20140">
        <w:rPr>
          <w:rFonts w:ascii="Arial" w:hAnsi="Arial" w:cs="Arial"/>
          <w:shd w:val="clear" w:color="auto" w:fill="FFFFFF"/>
        </w:rPr>
        <w:t xml:space="preserve">w </w:t>
      </w:r>
      <w:r w:rsidR="00D80595">
        <w:rPr>
          <w:rFonts w:ascii="Arial" w:hAnsi="Arial" w:cs="Arial"/>
          <w:shd w:val="clear" w:color="auto" w:fill="FFFFFF"/>
        </w:rPr>
        <w:t xml:space="preserve">diagnostyce </w:t>
      </w:r>
      <w:r w:rsidR="00D30DD0">
        <w:rPr>
          <w:rFonts w:ascii="Arial" w:hAnsi="Arial" w:cs="Arial"/>
          <w:shd w:val="clear" w:color="auto" w:fill="FFFFFF"/>
        </w:rPr>
        <w:t xml:space="preserve">124 </w:t>
      </w:r>
      <w:r w:rsidR="00B20140">
        <w:rPr>
          <w:rFonts w:ascii="Arial" w:hAnsi="Arial" w:cs="Arial"/>
          <w:shd w:val="clear" w:color="auto" w:fill="FFFFFF"/>
        </w:rPr>
        <w:t xml:space="preserve">pacjentów z pierwotnym </w:t>
      </w:r>
      <w:proofErr w:type="spellStart"/>
      <w:r w:rsidR="00B20140">
        <w:rPr>
          <w:rFonts w:ascii="Arial" w:hAnsi="Arial" w:cs="Arial"/>
          <w:shd w:val="clear" w:color="auto" w:fill="FFFFFF"/>
        </w:rPr>
        <w:t>hiperaldosteronizmem</w:t>
      </w:r>
      <w:proofErr w:type="spellEnd"/>
      <w:r w:rsidR="00AA02B7">
        <w:rPr>
          <w:rFonts w:ascii="Arial" w:hAnsi="Arial" w:cs="Arial"/>
          <w:shd w:val="clear" w:color="auto" w:fill="FFFFFF"/>
        </w:rPr>
        <w:t>, wnioskując</w:t>
      </w:r>
      <w:r w:rsidR="00D80595">
        <w:rPr>
          <w:rFonts w:ascii="Arial" w:hAnsi="Arial" w:cs="Arial"/>
          <w:shd w:val="clear" w:color="auto" w:fill="FFFFFF"/>
        </w:rPr>
        <w:t>, iż</w:t>
      </w:r>
      <w:r w:rsidR="00AA02B7">
        <w:rPr>
          <w:rFonts w:ascii="Arial" w:hAnsi="Arial" w:cs="Arial"/>
          <w:shd w:val="clear" w:color="auto" w:fill="FFFFFF"/>
        </w:rPr>
        <w:t>:</w:t>
      </w:r>
    </w:p>
    <w:p w:rsidR="00CA6B57" w:rsidRPr="002239AE" w:rsidRDefault="00D80595" w:rsidP="002239AE">
      <w:pPr>
        <w:pStyle w:val="Akapitzlist"/>
        <w:numPr>
          <w:ilvl w:val="0"/>
          <w:numId w:val="23"/>
        </w:numPr>
        <w:spacing w:line="360" w:lineRule="auto"/>
        <w:ind w:left="709"/>
        <w:jc w:val="both"/>
        <w:rPr>
          <w:rFonts w:ascii="Arial" w:hAnsi="Arial" w:cs="Arial"/>
          <w:shd w:val="clear" w:color="auto" w:fill="FFFFFF"/>
        </w:rPr>
      </w:pPr>
      <w:r>
        <w:rPr>
          <w:rFonts w:ascii="Arial" w:hAnsi="Arial" w:cs="Arial"/>
          <w:shd w:val="clear" w:color="auto" w:fill="FFFFFF"/>
        </w:rPr>
        <w:t>AVS jest procedurą bezpieczną</w:t>
      </w:r>
      <w:r w:rsidR="002239AE">
        <w:rPr>
          <w:rFonts w:ascii="Arial" w:hAnsi="Arial" w:cs="Arial"/>
          <w:shd w:val="clear" w:color="auto" w:fill="FFFFFF"/>
        </w:rPr>
        <w:t xml:space="preserve"> w rękach doświadczonego zespołu badającego, która w połączeniu z tomografią komputerową nadnerczy  może być w bezpieczny sposób stosowan</w:t>
      </w:r>
      <w:r w:rsidR="003E75CF">
        <w:rPr>
          <w:rFonts w:ascii="Arial" w:hAnsi="Arial" w:cs="Arial"/>
          <w:shd w:val="clear" w:color="auto" w:fill="FFFFFF"/>
        </w:rPr>
        <w:t xml:space="preserve">a u chorych z pierwotnym </w:t>
      </w:r>
      <w:proofErr w:type="spellStart"/>
      <w:r w:rsidR="003E75CF">
        <w:rPr>
          <w:rFonts w:ascii="Arial" w:hAnsi="Arial" w:cs="Arial"/>
          <w:shd w:val="clear" w:color="auto" w:fill="FFFFFF"/>
        </w:rPr>
        <w:t>hiperal</w:t>
      </w:r>
      <w:r w:rsidR="002239AE">
        <w:rPr>
          <w:rFonts w:ascii="Arial" w:hAnsi="Arial" w:cs="Arial"/>
          <w:shd w:val="clear" w:color="auto" w:fill="FFFFFF"/>
        </w:rPr>
        <w:t>dosteronizmem</w:t>
      </w:r>
      <w:proofErr w:type="spellEnd"/>
      <w:r w:rsidR="002239AE">
        <w:rPr>
          <w:rFonts w:ascii="Arial" w:hAnsi="Arial" w:cs="Arial"/>
          <w:shd w:val="clear" w:color="auto" w:fill="FFFFFF"/>
        </w:rPr>
        <w:t>.</w:t>
      </w:r>
      <w:r w:rsidR="002239AE" w:rsidRPr="002239AE">
        <w:rPr>
          <w:rFonts w:ascii="Arial" w:hAnsi="Arial" w:cs="Arial"/>
          <w:shd w:val="clear" w:color="auto" w:fill="FFFFFF"/>
        </w:rPr>
        <w:t xml:space="preserve"> </w:t>
      </w:r>
      <w:r w:rsidRPr="002239AE">
        <w:rPr>
          <w:rFonts w:ascii="Arial" w:hAnsi="Arial" w:cs="Arial"/>
          <w:shd w:val="clear" w:color="auto" w:fill="FFFFFF"/>
        </w:rPr>
        <w:t xml:space="preserve"> </w:t>
      </w:r>
      <w:r w:rsidR="00B20140" w:rsidRPr="002239AE">
        <w:rPr>
          <w:rFonts w:ascii="Arial" w:hAnsi="Arial" w:cs="Arial"/>
          <w:shd w:val="clear" w:color="auto" w:fill="FFFFFF"/>
        </w:rPr>
        <w:t xml:space="preserve"> </w:t>
      </w:r>
      <w:r w:rsidR="00CA6B57" w:rsidRPr="002239AE">
        <w:rPr>
          <w:rFonts w:ascii="Arial" w:hAnsi="Arial" w:cs="Arial"/>
          <w:shd w:val="clear" w:color="auto" w:fill="FFFFFF"/>
        </w:rPr>
        <w:t xml:space="preserve">  </w:t>
      </w:r>
    </w:p>
    <w:p w:rsidR="00A45E00" w:rsidRDefault="00A45E00" w:rsidP="00082450">
      <w:pPr>
        <w:spacing w:line="240" w:lineRule="auto"/>
        <w:rPr>
          <w:rFonts w:ascii="Arial" w:hAnsi="Arial" w:cs="Arial"/>
          <w:shd w:val="clear" w:color="auto" w:fill="FFFFFF"/>
        </w:rPr>
      </w:pPr>
      <w:r w:rsidRPr="00B62E79">
        <w:rPr>
          <w:rFonts w:ascii="Arial" w:hAnsi="Arial" w:cs="Arial"/>
          <w:shd w:val="clear" w:color="auto" w:fill="FFFFFF"/>
        </w:rPr>
        <w:t xml:space="preserve">Kądziela J, </w:t>
      </w:r>
      <w:proofErr w:type="spellStart"/>
      <w:r w:rsidRPr="00B62E79">
        <w:rPr>
          <w:rFonts w:ascii="Arial" w:hAnsi="Arial" w:cs="Arial"/>
          <w:shd w:val="clear" w:color="auto" w:fill="FFFFFF"/>
        </w:rPr>
        <w:t>Prejbisz</w:t>
      </w:r>
      <w:proofErr w:type="spellEnd"/>
      <w:r w:rsidRPr="00B62E79">
        <w:rPr>
          <w:rFonts w:ascii="Arial" w:hAnsi="Arial" w:cs="Arial"/>
          <w:shd w:val="clear" w:color="auto" w:fill="FFFFFF"/>
        </w:rPr>
        <w:t xml:space="preserve"> A, Michałowska I, Kołodziejczyk-Kruk S, </w:t>
      </w:r>
      <w:proofErr w:type="spellStart"/>
      <w:r w:rsidRPr="00B62E79">
        <w:rPr>
          <w:rFonts w:ascii="Arial" w:hAnsi="Arial" w:cs="Arial"/>
          <w:shd w:val="clear" w:color="auto" w:fill="FFFFFF"/>
        </w:rPr>
        <w:t>Schultze</w:t>
      </w:r>
      <w:proofErr w:type="spellEnd"/>
      <w:r w:rsidRPr="00B62E79">
        <w:rPr>
          <w:rFonts w:ascii="Arial" w:hAnsi="Arial" w:cs="Arial"/>
          <w:shd w:val="clear" w:color="auto" w:fill="FFFFFF"/>
        </w:rPr>
        <w:t xml:space="preserve"> </w:t>
      </w:r>
      <w:proofErr w:type="spellStart"/>
      <w:r w:rsidRPr="00B62E79">
        <w:rPr>
          <w:rFonts w:ascii="Arial" w:hAnsi="Arial" w:cs="Arial"/>
          <w:shd w:val="clear" w:color="auto" w:fill="FFFFFF"/>
        </w:rPr>
        <w:t>Kool</w:t>
      </w:r>
      <w:proofErr w:type="spellEnd"/>
      <w:r w:rsidRPr="00B62E79">
        <w:rPr>
          <w:rFonts w:ascii="Arial" w:hAnsi="Arial" w:cs="Arial"/>
          <w:shd w:val="clear" w:color="auto" w:fill="FFFFFF"/>
        </w:rPr>
        <w:t xml:space="preserve"> L, Kabat M, </w:t>
      </w:r>
      <w:proofErr w:type="spellStart"/>
      <w:r w:rsidRPr="00B62E79">
        <w:rPr>
          <w:rFonts w:ascii="Arial" w:hAnsi="Arial" w:cs="Arial"/>
          <w:shd w:val="clear" w:color="auto" w:fill="FFFFFF"/>
        </w:rPr>
        <w:t>Janaszek-Sitkowska</w:t>
      </w:r>
      <w:proofErr w:type="spellEnd"/>
      <w:r w:rsidRPr="00B62E79">
        <w:rPr>
          <w:rFonts w:ascii="Arial" w:hAnsi="Arial" w:cs="Arial"/>
          <w:shd w:val="clear" w:color="auto" w:fill="FFFFFF"/>
        </w:rPr>
        <w:t xml:space="preserve"> H, </w:t>
      </w:r>
      <w:proofErr w:type="spellStart"/>
      <w:r w:rsidRPr="00B62E79">
        <w:rPr>
          <w:rFonts w:ascii="Arial" w:hAnsi="Arial" w:cs="Arial"/>
          <w:shd w:val="clear" w:color="auto" w:fill="FFFFFF"/>
        </w:rPr>
        <w:t>Toutounchi</w:t>
      </w:r>
      <w:proofErr w:type="spellEnd"/>
      <w:r w:rsidRPr="00B62E79">
        <w:rPr>
          <w:rFonts w:ascii="Arial" w:hAnsi="Arial" w:cs="Arial"/>
          <w:shd w:val="clear" w:color="auto" w:fill="FFFFFF"/>
        </w:rPr>
        <w:t xml:space="preserve"> S, Gałązka Z,</w:t>
      </w:r>
      <w:r w:rsidRPr="00B62E79">
        <w:rPr>
          <w:rStyle w:val="apple-converted-space"/>
          <w:rFonts w:cs="Arial"/>
          <w:shd w:val="clear" w:color="auto" w:fill="FFFFFF"/>
        </w:rPr>
        <w:t> </w:t>
      </w:r>
      <w:r w:rsidRPr="00B62E79">
        <w:rPr>
          <w:rFonts w:ascii="Arial" w:hAnsi="Arial" w:cs="Arial"/>
          <w:b/>
          <w:bCs/>
          <w:shd w:val="clear" w:color="auto" w:fill="FFFFFF"/>
        </w:rPr>
        <w:t>Ambroziak U</w:t>
      </w:r>
      <w:r w:rsidRPr="00B62E79">
        <w:rPr>
          <w:rFonts w:ascii="Arial" w:hAnsi="Arial" w:cs="Arial"/>
          <w:shd w:val="clear" w:color="auto" w:fill="FFFFFF"/>
        </w:rPr>
        <w:t>, Bednarczuk T, Ptasińska-Wnuk D, Hoffmann M, Januszewicz M, Januszewicz A, Witkowski A.</w:t>
      </w:r>
      <w:r w:rsidRPr="00B62E79">
        <w:rPr>
          <w:rFonts w:ascii="Arial" w:hAnsi="Arial" w:cs="Arial"/>
        </w:rPr>
        <w:t xml:space="preserve"> </w:t>
      </w:r>
      <w:hyperlink r:id="rId23" w:history="1">
        <w:r w:rsidRPr="007E4302">
          <w:rPr>
            <w:rStyle w:val="Hipercze"/>
            <w:rFonts w:ascii="Arial" w:hAnsi="Arial" w:cs="Arial"/>
            <w:color w:val="auto"/>
            <w:u w:val="none"/>
            <w:shd w:val="clear" w:color="auto" w:fill="FFFFFF"/>
            <w:lang w:val="en-US"/>
          </w:rPr>
          <w:t xml:space="preserve">A single-centre experience of the implementation of adrenal vein sampling procedure: the impact on the diagnostic work-up in primary </w:t>
        </w:r>
        <w:proofErr w:type="spellStart"/>
        <w:r w:rsidRPr="007E4302">
          <w:rPr>
            <w:rStyle w:val="Hipercze"/>
            <w:rFonts w:ascii="Arial" w:hAnsi="Arial" w:cs="Arial"/>
            <w:color w:val="auto"/>
            <w:u w:val="none"/>
            <w:shd w:val="clear" w:color="auto" w:fill="FFFFFF"/>
            <w:lang w:val="en-US"/>
          </w:rPr>
          <w:t>aldosteronism</w:t>
        </w:r>
        <w:proofErr w:type="spellEnd"/>
        <w:r w:rsidRPr="007E4302">
          <w:rPr>
            <w:rStyle w:val="Hipercze"/>
            <w:rFonts w:ascii="Arial" w:hAnsi="Arial" w:cs="Arial"/>
            <w:color w:val="auto"/>
            <w:u w:val="none"/>
            <w:shd w:val="clear" w:color="auto" w:fill="FFFFFF"/>
            <w:lang w:val="en-US"/>
          </w:rPr>
          <w:t>.</w:t>
        </w:r>
      </w:hyperlink>
      <w:r w:rsidRPr="007E4302">
        <w:rPr>
          <w:rStyle w:val="Nagwek3Znak"/>
          <w:rFonts w:eastAsiaTheme="minorHAnsi"/>
          <w:shd w:val="clear" w:color="auto" w:fill="FFFFFF"/>
          <w:lang w:val="en-US"/>
        </w:rPr>
        <w:t xml:space="preserve"> </w:t>
      </w:r>
      <w:r w:rsidRPr="007E4302">
        <w:rPr>
          <w:rStyle w:val="jrnl"/>
          <w:rFonts w:ascii="Arial" w:hAnsi="Arial" w:cs="Arial"/>
          <w:shd w:val="clear" w:color="auto" w:fill="FFFFFF"/>
        </w:rPr>
        <w:t>Kardiol Pol</w:t>
      </w:r>
      <w:r w:rsidRPr="007E4302">
        <w:rPr>
          <w:rFonts w:ascii="Arial" w:hAnsi="Arial" w:cs="Arial"/>
          <w:shd w:val="clear" w:color="auto" w:fill="FFFFFF"/>
        </w:rPr>
        <w:t xml:space="preserve">. 2017;75(1):28-34. </w:t>
      </w:r>
    </w:p>
    <w:p w:rsidR="00B45125" w:rsidRDefault="00B45125" w:rsidP="00B45125">
      <w:pPr>
        <w:spacing w:line="360" w:lineRule="auto"/>
        <w:jc w:val="both"/>
        <w:rPr>
          <w:rFonts w:ascii="Arial" w:hAnsi="Arial" w:cs="Arial"/>
          <w:shd w:val="clear" w:color="auto" w:fill="FFFFFF"/>
        </w:rPr>
      </w:pPr>
      <w:r w:rsidRPr="00B45125">
        <w:rPr>
          <w:rFonts w:ascii="Arial" w:hAnsi="Arial" w:cs="Arial"/>
          <w:b/>
          <w:shd w:val="clear" w:color="auto" w:fill="FFFFFF"/>
        </w:rPr>
        <w:t>IF</w:t>
      </w:r>
      <w:r>
        <w:rPr>
          <w:rFonts w:ascii="Arial" w:hAnsi="Arial" w:cs="Arial"/>
          <w:shd w:val="clear" w:color="auto" w:fill="FFFFFF"/>
        </w:rPr>
        <w:t xml:space="preserve"> </w:t>
      </w:r>
      <w:r w:rsidRPr="006926F8">
        <w:rPr>
          <w:rFonts w:ascii="Arial" w:hAnsi="Arial" w:cs="Arial"/>
          <w:b/>
          <w:shd w:val="clear" w:color="auto" w:fill="FFFFFF"/>
        </w:rPr>
        <w:t>1,341</w:t>
      </w:r>
      <w:r>
        <w:rPr>
          <w:rFonts w:ascii="Arial" w:hAnsi="Arial" w:cs="Arial"/>
          <w:shd w:val="clear" w:color="auto" w:fill="FFFFFF"/>
        </w:rPr>
        <w:t xml:space="preserve"> </w:t>
      </w:r>
      <w:proofErr w:type="spellStart"/>
      <w:r w:rsidRPr="006926F8">
        <w:rPr>
          <w:rFonts w:ascii="Arial" w:hAnsi="Arial" w:cs="Arial"/>
          <w:b/>
          <w:shd w:val="clear" w:color="auto" w:fill="FFFFFF"/>
        </w:rPr>
        <w:t>MNiSW</w:t>
      </w:r>
      <w:proofErr w:type="spellEnd"/>
      <w:r w:rsidRPr="006926F8">
        <w:rPr>
          <w:rFonts w:ascii="Arial" w:hAnsi="Arial" w:cs="Arial"/>
          <w:b/>
          <w:shd w:val="clear" w:color="auto" w:fill="FFFFFF"/>
        </w:rPr>
        <w:t xml:space="preserve"> 15</w:t>
      </w:r>
    </w:p>
    <w:p w:rsidR="00BB3D2D" w:rsidRDefault="00BB3D2D" w:rsidP="008F485B">
      <w:pPr>
        <w:spacing w:line="360" w:lineRule="auto"/>
        <w:rPr>
          <w:rFonts w:ascii="Arial" w:hAnsi="Arial" w:cs="Arial"/>
          <w:b/>
          <w:bCs/>
          <w:shd w:val="clear" w:color="auto" w:fill="FFFFFF"/>
        </w:rPr>
      </w:pPr>
      <w:r>
        <w:rPr>
          <w:rFonts w:ascii="Arial" w:hAnsi="Arial" w:cs="Arial"/>
          <w:b/>
          <w:bCs/>
          <w:shd w:val="clear" w:color="auto" w:fill="FFFFFF"/>
        </w:rPr>
        <w:tab/>
      </w:r>
    </w:p>
    <w:p w:rsidR="002239AE" w:rsidRPr="003E75CF" w:rsidRDefault="00BB3D2D" w:rsidP="003E75CF">
      <w:pPr>
        <w:spacing w:line="360" w:lineRule="auto"/>
        <w:ind w:firstLine="708"/>
        <w:jc w:val="both"/>
        <w:rPr>
          <w:rFonts w:ascii="Arial" w:hAnsi="Arial" w:cs="Arial"/>
          <w:bCs/>
          <w:shd w:val="clear" w:color="auto" w:fill="FFFFFF"/>
        </w:rPr>
      </w:pPr>
      <w:r w:rsidRPr="003E75CF">
        <w:rPr>
          <w:rFonts w:ascii="Arial" w:hAnsi="Arial" w:cs="Arial"/>
          <w:bCs/>
          <w:shd w:val="clear" w:color="auto" w:fill="FFFFFF"/>
        </w:rPr>
        <w:t xml:space="preserve">Następne badanie dotyczyło wpływu pulsów </w:t>
      </w:r>
      <w:proofErr w:type="spellStart"/>
      <w:r w:rsidRPr="003E75CF">
        <w:rPr>
          <w:rFonts w:ascii="Arial" w:hAnsi="Arial" w:cs="Arial"/>
          <w:bCs/>
          <w:shd w:val="clear" w:color="auto" w:fill="FFFFFF"/>
        </w:rPr>
        <w:t>metyloprednizolonu</w:t>
      </w:r>
      <w:proofErr w:type="spellEnd"/>
      <w:r w:rsidRPr="003E75CF">
        <w:rPr>
          <w:rFonts w:ascii="Arial" w:hAnsi="Arial" w:cs="Arial"/>
          <w:bCs/>
          <w:shd w:val="clear" w:color="auto" w:fill="FFFFFF"/>
        </w:rPr>
        <w:t xml:space="preserve"> na rozwój niedoczynności kory nadnerczy u pacjentów z </w:t>
      </w:r>
      <w:proofErr w:type="spellStart"/>
      <w:r w:rsidRPr="003E75CF">
        <w:rPr>
          <w:rFonts w:ascii="Arial" w:hAnsi="Arial" w:cs="Arial"/>
          <w:bCs/>
          <w:shd w:val="clear" w:color="auto" w:fill="FFFFFF"/>
        </w:rPr>
        <w:t>orbitopatią</w:t>
      </w:r>
      <w:proofErr w:type="spellEnd"/>
      <w:r w:rsidRPr="003E75CF">
        <w:rPr>
          <w:rFonts w:ascii="Arial" w:hAnsi="Arial" w:cs="Arial"/>
          <w:bCs/>
          <w:shd w:val="clear" w:color="auto" w:fill="FFFFFF"/>
        </w:rPr>
        <w:t xml:space="preserve"> tarczycową</w:t>
      </w:r>
      <w:r w:rsidR="002239AE" w:rsidRPr="003E75CF">
        <w:rPr>
          <w:rFonts w:ascii="Arial" w:hAnsi="Arial" w:cs="Arial"/>
          <w:bCs/>
          <w:shd w:val="clear" w:color="auto" w:fill="FFFFFF"/>
        </w:rPr>
        <w:t>, gdzie stwierdzono, iż:</w:t>
      </w:r>
    </w:p>
    <w:p w:rsidR="00ED07A7" w:rsidRPr="00ED07A7" w:rsidRDefault="00ED07A7" w:rsidP="00ED07A7">
      <w:pPr>
        <w:pStyle w:val="Akapitzlist"/>
        <w:numPr>
          <w:ilvl w:val="0"/>
          <w:numId w:val="23"/>
        </w:numPr>
        <w:spacing w:line="360" w:lineRule="auto"/>
        <w:ind w:left="709" w:hanging="357"/>
        <w:jc w:val="both"/>
        <w:rPr>
          <w:rFonts w:ascii="Arial" w:hAnsi="Arial" w:cs="Arial"/>
          <w:shd w:val="clear" w:color="auto" w:fill="FFFFFF"/>
        </w:rPr>
      </w:pPr>
      <w:r>
        <w:rPr>
          <w:rFonts w:ascii="Arial" w:hAnsi="Arial" w:cs="Arial"/>
          <w:color w:val="000000"/>
          <w:shd w:val="clear" w:color="auto" w:fill="FFFFFF"/>
        </w:rPr>
        <w:t>t</w:t>
      </w:r>
      <w:r w:rsidRPr="00ED07A7">
        <w:rPr>
          <w:rFonts w:ascii="Arial" w:hAnsi="Arial" w:cs="Arial"/>
          <w:color w:val="000000"/>
          <w:shd w:val="clear" w:color="auto" w:fill="FFFFFF"/>
        </w:rPr>
        <w:t xml:space="preserve">erapia </w:t>
      </w:r>
      <w:r>
        <w:rPr>
          <w:rFonts w:ascii="Arial" w:hAnsi="Arial" w:cs="Arial"/>
          <w:color w:val="000000"/>
          <w:shd w:val="clear" w:color="auto" w:fill="FFFFFF"/>
        </w:rPr>
        <w:t>doż</w:t>
      </w:r>
      <w:r w:rsidRPr="00ED07A7">
        <w:rPr>
          <w:rFonts w:ascii="Arial" w:hAnsi="Arial" w:cs="Arial"/>
          <w:color w:val="000000"/>
          <w:shd w:val="clear" w:color="auto" w:fill="FFFFFF"/>
        </w:rPr>
        <w:t xml:space="preserve">ylnymi pulsami </w:t>
      </w:r>
      <w:proofErr w:type="spellStart"/>
      <w:r w:rsidRPr="00ED07A7">
        <w:rPr>
          <w:rFonts w:ascii="Arial" w:hAnsi="Arial" w:cs="Arial"/>
          <w:color w:val="000000"/>
          <w:shd w:val="clear" w:color="auto" w:fill="FFFFFF"/>
        </w:rPr>
        <w:t>metylprednizolonu</w:t>
      </w:r>
      <w:proofErr w:type="spellEnd"/>
      <w:r w:rsidRPr="00ED07A7">
        <w:rPr>
          <w:rFonts w:ascii="Arial" w:hAnsi="Arial" w:cs="Arial"/>
          <w:color w:val="000000"/>
          <w:shd w:val="clear" w:color="auto" w:fill="FFFFFF"/>
        </w:rPr>
        <w:t xml:space="preserve"> nie prowadzi do rozwoju wtórnej niedoczynności kory nadnerczy</w:t>
      </w:r>
      <w:r>
        <w:rPr>
          <w:rFonts w:ascii="Arial" w:hAnsi="Arial" w:cs="Arial"/>
          <w:color w:val="000000"/>
          <w:shd w:val="clear" w:color="auto" w:fill="FFFFFF"/>
        </w:rPr>
        <w:t xml:space="preserve"> u pacjentów z </w:t>
      </w:r>
      <w:proofErr w:type="spellStart"/>
      <w:r>
        <w:rPr>
          <w:rFonts w:ascii="Arial" w:hAnsi="Arial" w:cs="Arial"/>
          <w:color w:val="000000"/>
          <w:shd w:val="clear" w:color="auto" w:fill="FFFFFF"/>
        </w:rPr>
        <w:t>orbitopatią</w:t>
      </w:r>
      <w:proofErr w:type="spellEnd"/>
      <w:r>
        <w:rPr>
          <w:rFonts w:ascii="Arial" w:hAnsi="Arial" w:cs="Arial"/>
          <w:color w:val="000000"/>
          <w:shd w:val="clear" w:color="auto" w:fill="FFFFFF"/>
        </w:rPr>
        <w:t xml:space="preserve"> tarczycową</w:t>
      </w:r>
      <w:r w:rsidR="00F11961">
        <w:rPr>
          <w:rFonts w:ascii="Arial" w:hAnsi="Arial" w:cs="Arial"/>
          <w:color w:val="000000"/>
          <w:shd w:val="clear" w:color="auto" w:fill="FFFFFF"/>
        </w:rPr>
        <w:t xml:space="preserve"> natomiast</w:t>
      </w:r>
      <w:r w:rsidR="00690035">
        <w:rPr>
          <w:rFonts w:ascii="Arial" w:hAnsi="Arial" w:cs="Arial"/>
          <w:color w:val="000000"/>
          <w:shd w:val="clear" w:color="auto" w:fill="FFFFFF"/>
        </w:rPr>
        <w:t xml:space="preserve"> stosowanie uzupełniającego leczenia małymi doustnymi dawkami </w:t>
      </w:r>
      <w:proofErr w:type="spellStart"/>
      <w:r w:rsidR="00690035">
        <w:rPr>
          <w:rFonts w:ascii="Arial" w:hAnsi="Arial" w:cs="Arial"/>
          <w:color w:val="000000"/>
          <w:shd w:val="clear" w:color="auto" w:fill="FFFFFF"/>
        </w:rPr>
        <w:t>prednizonu</w:t>
      </w:r>
      <w:proofErr w:type="spellEnd"/>
      <w:r w:rsidR="00F11961">
        <w:rPr>
          <w:rFonts w:ascii="Arial" w:hAnsi="Arial" w:cs="Arial"/>
          <w:color w:val="000000"/>
          <w:shd w:val="clear" w:color="auto" w:fill="FFFFFF"/>
        </w:rPr>
        <w:t xml:space="preserve"> może </w:t>
      </w:r>
      <w:r w:rsidR="00787CF2">
        <w:rPr>
          <w:rFonts w:ascii="Arial" w:hAnsi="Arial" w:cs="Arial"/>
          <w:color w:val="000000"/>
          <w:shd w:val="clear" w:color="auto" w:fill="FFFFFF"/>
        </w:rPr>
        <w:t>skutkować wtórną</w:t>
      </w:r>
      <w:r w:rsidR="00690035">
        <w:rPr>
          <w:rFonts w:ascii="Arial" w:hAnsi="Arial" w:cs="Arial"/>
          <w:color w:val="000000"/>
          <w:shd w:val="clear" w:color="auto" w:fill="FFFFFF"/>
        </w:rPr>
        <w:t xml:space="preserve"> </w:t>
      </w:r>
      <w:r w:rsidR="00F11961">
        <w:rPr>
          <w:rFonts w:ascii="Arial" w:hAnsi="Arial" w:cs="Arial"/>
          <w:color w:val="000000"/>
          <w:shd w:val="clear" w:color="auto" w:fill="FFFFFF"/>
        </w:rPr>
        <w:t>niedoczynnością kory nadnerczy u</w:t>
      </w:r>
      <w:r w:rsidR="00690035">
        <w:rPr>
          <w:rFonts w:ascii="Arial" w:hAnsi="Arial" w:cs="Arial"/>
          <w:color w:val="000000"/>
          <w:shd w:val="clear" w:color="auto" w:fill="FFFFFF"/>
        </w:rPr>
        <w:t xml:space="preserve"> części chorych</w:t>
      </w:r>
      <w:r w:rsidR="00377AD5">
        <w:rPr>
          <w:rFonts w:ascii="Arial" w:hAnsi="Arial" w:cs="Arial"/>
          <w:color w:val="000000"/>
          <w:shd w:val="clear" w:color="auto" w:fill="FFFFFF"/>
        </w:rPr>
        <w:t>.</w:t>
      </w:r>
      <w:r w:rsidR="00690035">
        <w:rPr>
          <w:rFonts w:ascii="Arial" w:hAnsi="Arial" w:cs="Arial"/>
          <w:color w:val="000000"/>
          <w:shd w:val="clear" w:color="auto" w:fill="FFFFFF"/>
        </w:rPr>
        <w:t xml:space="preserve"> </w:t>
      </w:r>
      <w:r w:rsidRPr="00ED07A7">
        <w:rPr>
          <w:rFonts w:ascii="Arial" w:hAnsi="Arial" w:cs="Arial"/>
          <w:color w:val="000000"/>
          <w:shd w:val="clear" w:color="auto" w:fill="FFFFFF"/>
        </w:rPr>
        <w:t xml:space="preserve"> </w:t>
      </w:r>
    </w:p>
    <w:p w:rsidR="00A45E00" w:rsidRPr="00ED07A7" w:rsidRDefault="00A45E00" w:rsidP="00082450">
      <w:pPr>
        <w:spacing w:line="240" w:lineRule="auto"/>
        <w:rPr>
          <w:rFonts w:ascii="Arial" w:hAnsi="Arial" w:cs="Arial"/>
          <w:shd w:val="clear" w:color="auto" w:fill="FFFFFF"/>
        </w:rPr>
      </w:pPr>
      <w:r w:rsidRPr="00ED07A7">
        <w:rPr>
          <w:rFonts w:ascii="Arial" w:hAnsi="Arial" w:cs="Arial"/>
          <w:b/>
          <w:bCs/>
          <w:shd w:val="clear" w:color="auto" w:fill="FFFFFF"/>
        </w:rPr>
        <w:t>Ambroziak U</w:t>
      </w:r>
      <w:r w:rsidRPr="00ED07A7">
        <w:rPr>
          <w:rFonts w:ascii="Arial" w:hAnsi="Arial" w:cs="Arial"/>
          <w:shd w:val="clear" w:color="auto" w:fill="FFFFFF"/>
        </w:rPr>
        <w:t>, Bluszcz G, Bednarczuk T, Miśkiewicz P.</w:t>
      </w:r>
      <w:r w:rsidRPr="00ED07A7">
        <w:rPr>
          <w:rFonts w:ascii="Arial" w:hAnsi="Arial" w:cs="Arial"/>
        </w:rPr>
        <w:t xml:space="preserve"> </w:t>
      </w:r>
      <w:hyperlink r:id="rId24" w:history="1">
        <w:r w:rsidRPr="00ED07A7">
          <w:rPr>
            <w:rStyle w:val="Hipercze"/>
            <w:rFonts w:ascii="Arial" w:hAnsi="Arial" w:cs="Arial"/>
            <w:color w:val="auto"/>
            <w:u w:val="none"/>
            <w:shd w:val="clear" w:color="auto" w:fill="FFFFFF"/>
            <w:lang w:val="en-US"/>
          </w:rPr>
          <w:t xml:space="preserve">The influence of Graves' </w:t>
        </w:r>
        <w:proofErr w:type="spellStart"/>
        <w:r w:rsidRPr="00ED07A7">
          <w:rPr>
            <w:rStyle w:val="Hipercze"/>
            <w:rFonts w:ascii="Arial" w:hAnsi="Arial" w:cs="Arial"/>
            <w:color w:val="auto"/>
            <w:u w:val="none"/>
            <w:shd w:val="clear" w:color="auto" w:fill="FFFFFF"/>
            <w:lang w:val="en-US"/>
          </w:rPr>
          <w:t>orbitopathy</w:t>
        </w:r>
        <w:proofErr w:type="spellEnd"/>
        <w:r w:rsidRPr="00ED07A7">
          <w:rPr>
            <w:rStyle w:val="Hipercze"/>
            <w:rFonts w:ascii="Arial" w:hAnsi="Arial" w:cs="Arial"/>
            <w:color w:val="auto"/>
            <w:u w:val="none"/>
            <w:shd w:val="clear" w:color="auto" w:fill="FFFFFF"/>
            <w:lang w:val="en-US"/>
          </w:rPr>
          <w:t xml:space="preserve"> treatment with intravenous </w:t>
        </w:r>
        <w:proofErr w:type="spellStart"/>
        <w:r w:rsidRPr="00ED07A7">
          <w:rPr>
            <w:rStyle w:val="Hipercze"/>
            <w:rFonts w:ascii="Arial" w:hAnsi="Arial" w:cs="Arial"/>
            <w:color w:val="auto"/>
            <w:u w:val="none"/>
            <w:shd w:val="clear" w:color="auto" w:fill="FFFFFF"/>
            <w:lang w:val="en-US"/>
          </w:rPr>
          <w:t>glucocorticoids</w:t>
        </w:r>
        <w:proofErr w:type="spellEnd"/>
        <w:r w:rsidRPr="00ED07A7">
          <w:rPr>
            <w:rStyle w:val="Hipercze"/>
            <w:rFonts w:ascii="Arial" w:hAnsi="Arial" w:cs="Arial"/>
            <w:color w:val="auto"/>
            <w:u w:val="none"/>
            <w:shd w:val="clear" w:color="auto" w:fill="FFFFFF"/>
            <w:lang w:val="en-US"/>
          </w:rPr>
          <w:t xml:space="preserve"> on adrenal function.</w:t>
        </w:r>
      </w:hyperlink>
      <w:r w:rsidRPr="00ED07A7">
        <w:rPr>
          <w:rStyle w:val="Nagwek3Znak"/>
          <w:rFonts w:eastAsiaTheme="minorHAnsi"/>
          <w:shd w:val="clear" w:color="auto" w:fill="FFFFFF"/>
          <w:lang w:val="en-US"/>
        </w:rPr>
        <w:t xml:space="preserve"> </w:t>
      </w:r>
      <w:proofErr w:type="spellStart"/>
      <w:r w:rsidRPr="00ED07A7">
        <w:rPr>
          <w:rStyle w:val="jrnl"/>
          <w:rFonts w:ascii="Arial" w:hAnsi="Arial" w:cs="Arial"/>
          <w:shd w:val="clear" w:color="auto" w:fill="FFFFFF"/>
        </w:rPr>
        <w:t>Endokrynol</w:t>
      </w:r>
      <w:proofErr w:type="spellEnd"/>
      <w:r w:rsidRPr="00ED07A7">
        <w:rPr>
          <w:rStyle w:val="jrnl"/>
          <w:rFonts w:ascii="Arial" w:hAnsi="Arial" w:cs="Arial"/>
          <w:shd w:val="clear" w:color="auto" w:fill="FFFFFF"/>
        </w:rPr>
        <w:t xml:space="preserve"> Pol</w:t>
      </w:r>
      <w:r w:rsidRPr="00ED07A7">
        <w:rPr>
          <w:rFonts w:ascii="Arial" w:hAnsi="Arial" w:cs="Arial"/>
          <w:shd w:val="clear" w:color="auto" w:fill="FFFFFF"/>
        </w:rPr>
        <w:t xml:space="preserve">. 2017;68(4):430-433. </w:t>
      </w:r>
    </w:p>
    <w:p w:rsidR="00B45125" w:rsidRPr="006926F8" w:rsidRDefault="00B45125" w:rsidP="00082450">
      <w:pPr>
        <w:spacing w:line="360" w:lineRule="auto"/>
        <w:rPr>
          <w:rFonts w:ascii="Arial" w:hAnsi="Arial" w:cs="Arial"/>
          <w:b/>
          <w:shd w:val="clear" w:color="auto" w:fill="FFFFFF"/>
        </w:rPr>
      </w:pPr>
      <w:r w:rsidRPr="00B45125">
        <w:rPr>
          <w:rFonts w:ascii="Arial" w:hAnsi="Arial" w:cs="Arial"/>
          <w:b/>
          <w:shd w:val="clear" w:color="auto" w:fill="FFFFFF"/>
        </w:rPr>
        <w:t>IF</w:t>
      </w:r>
      <w:r>
        <w:rPr>
          <w:rFonts w:ascii="Arial" w:hAnsi="Arial" w:cs="Arial"/>
          <w:shd w:val="clear" w:color="auto" w:fill="FFFFFF"/>
        </w:rPr>
        <w:t xml:space="preserve"> </w:t>
      </w:r>
      <w:r w:rsidRPr="006926F8">
        <w:rPr>
          <w:rFonts w:ascii="Arial" w:hAnsi="Arial" w:cs="Arial"/>
          <w:b/>
          <w:shd w:val="clear" w:color="auto" w:fill="FFFFFF"/>
        </w:rPr>
        <w:t>1,341</w:t>
      </w:r>
      <w:r>
        <w:rPr>
          <w:rFonts w:ascii="Arial" w:hAnsi="Arial" w:cs="Arial"/>
          <w:shd w:val="clear" w:color="auto" w:fill="FFFFFF"/>
        </w:rPr>
        <w:t xml:space="preserve"> </w:t>
      </w:r>
      <w:proofErr w:type="spellStart"/>
      <w:r w:rsidRPr="00B45125">
        <w:rPr>
          <w:rFonts w:ascii="Arial" w:hAnsi="Arial" w:cs="Arial"/>
          <w:b/>
          <w:shd w:val="clear" w:color="auto" w:fill="FFFFFF"/>
        </w:rPr>
        <w:t>MNiSW</w:t>
      </w:r>
      <w:proofErr w:type="spellEnd"/>
      <w:r>
        <w:rPr>
          <w:rFonts w:ascii="Arial" w:hAnsi="Arial" w:cs="Arial"/>
          <w:shd w:val="clear" w:color="auto" w:fill="FFFFFF"/>
        </w:rPr>
        <w:t xml:space="preserve"> </w:t>
      </w:r>
      <w:r w:rsidRPr="006926F8">
        <w:rPr>
          <w:rFonts w:ascii="Arial" w:hAnsi="Arial" w:cs="Arial"/>
          <w:b/>
          <w:shd w:val="clear" w:color="auto" w:fill="FFFFFF"/>
        </w:rPr>
        <w:t>15</w:t>
      </w:r>
    </w:p>
    <w:p w:rsidR="005F61EE" w:rsidRDefault="00BB3D2D" w:rsidP="005F61EE">
      <w:pPr>
        <w:spacing w:line="360" w:lineRule="auto"/>
        <w:jc w:val="both"/>
        <w:rPr>
          <w:rFonts w:ascii="Arial" w:hAnsi="Arial" w:cs="Arial"/>
          <w:b/>
          <w:bCs/>
          <w:shd w:val="clear" w:color="auto" w:fill="FFFFFF"/>
        </w:rPr>
      </w:pPr>
      <w:r>
        <w:rPr>
          <w:rFonts w:ascii="Arial" w:hAnsi="Arial" w:cs="Arial"/>
          <w:b/>
          <w:bCs/>
          <w:shd w:val="clear" w:color="auto" w:fill="FFFFFF"/>
        </w:rPr>
        <w:tab/>
      </w:r>
    </w:p>
    <w:p w:rsidR="00BB3D2D" w:rsidRDefault="00BB3D2D" w:rsidP="005F61EE">
      <w:pPr>
        <w:spacing w:line="360" w:lineRule="auto"/>
        <w:ind w:firstLine="708"/>
        <w:jc w:val="both"/>
        <w:rPr>
          <w:rFonts w:ascii="Arial" w:hAnsi="Arial" w:cs="Arial"/>
          <w:bCs/>
          <w:shd w:val="clear" w:color="auto" w:fill="FFFFFF"/>
        </w:rPr>
      </w:pPr>
      <w:r w:rsidRPr="00BB3D2D">
        <w:rPr>
          <w:rFonts w:ascii="Arial" w:hAnsi="Arial" w:cs="Arial"/>
          <w:bCs/>
          <w:shd w:val="clear" w:color="auto" w:fill="FFFFFF"/>
        </w:rPr>
        <w:t xml:space="preserve">W kolejnym badaniu </w:t>
      </w:r>
      <w:r>
        <w:rPr>
          <w:rFonts w:ascii="Arial" w:hAnsi="Arial" w:cs="Arial"/>
          <w:bCs/>
          <w:shd w:val="clear" w:color="auto" w:fill="FFFFFF"/>
        </w:rPr>
        <w:t>przeanalizowaliśmy wpływ wskaźnika testosteron</w:t>
      </w:r>
      <w:r w:rsidR="005F61EE">
        <w:rPr>
          <w:rFonts w:ascii="Arial" w:hAnsi="Arial" w:cs="Arial"/>
          <w:bCs/>
          <w:shd w:val="clear" w:color="auto" w:fill="FFFFFF"/>
        </w:rPr>
        <w:t>u</w:t>
      </w:r>
      <w:r>
        <w:rPr>
          <w:rFonts w:ascii="Arial" w:hAnsi="Arial" w:cs="Arial"/>
          <w:bCs/>
          <w:shd w:val="clear" w:color="auto" w:fill="FFFFFF"/>
        </w:rPr>
        <w:t xml:space="preserve"> do </w:t>
      </w:r>
      <w:proofErr w:type="spellStart"/>
      <w:r>
        <w:rPr>
          <w:rFonts w:ascii="Arial" w:hAnsi="Arial" w:cs="Arial"/>
          <w:bCs/>
          <w:shd w:val="clear" w:color="auto" w:fill="FFFFFF"/>
        </w:rPr>
        <w:t>dihydrotestosteron</w:t>
      </w:r>
      <w:r w:rsidR="005F61EE">
        <w:rPr>
          <w:rFonts w:ascii="Arial" w:hAnsi="Arial" w:cs="Arial"/>
          <w:bCs/>
          <w:shd w:val="clear" w:color="auto" w:fill="FFFFFF"/>
        </w:rPr>
        <w:t>u</w:t>
      </w:r>
      <w:proofErr w:type="spellEnd"/>
      <w:r w:rsidR="005F61EE">
        <w:rPr>
          <w:rFonts w:ascii="Arial" w:hAnsi="Arial" w:cs="Arial"/>
          <w:bCs/>
          <w:shd w:val="clear" w:color="auto" w:fill="FFFFFF"/>
        </w:rPr>
        <w:t xml:space="preserve"> </w:t>
      </w:r>
      <w:r>
        <w:rPr>
          <w:rFonts w:ascii="Arial" w:hAnsi="Arial" w:cs="Arial"/>
          <w:bCs/>
          <w:shd w:val="clear" w:color="auto" w:fill="FFFFFF"/>
        </w:rPr>
        <w:t xml:space="preserve"> </w:t>
      </w:r>
      <w:r w:rsidR="005F61EE">
        <w:rPr>
          <w:rFonts w:ascii="Arial" w:hAnsi="Arial" w:cs="Arial"/>
          <w:bCs/>
          <w:shd w:val="clear" w:color="auto" w:fill="FFFFFF"/>
        </w:rPr>
        <w:t>na profil metaboliczny</w:t>
      </w:r>
      <w:r w:rsidR="00DE44FD">
        <w:rPr>
          <w:rFonts w:ascii="Arial" w:hAnsi="Arial" w:cs="Arial"/>
          <w:bCs/>
          <w:shd w:val="clear" w:color="auto" w:fill="FFFFFF"/>
        </w:rPr>
        <w:t xml:space="preserve"> pacjentek z zespołem </w:t>
      </w:r>
      <w:proofErr w:type="spellStart"/>
      <w:r w:rsidR="00DE44FD">
        <w:rPr>
          <w:rFonts w:ascii="Arial" w:hAnsi="Arial" w:cs="Arial"/>
          <w:bCs/>
          <w:shd w:val="clear" w:color="auto" w:fill="FFFFFF"/>
        </w:rPr>
        <w:t>policystycznyc</w:t>
      </w:r>
      <w:r w:rsidR="00D6717C">
        <w:rPr>
          <w:rFonts w:ascii="Arial" w:hAnsi="Arial" w:cs="Arial"/>
          <w:bCs/>
          <w:shd w:val="clear" w:color="auto" w:fill="FFFFFF"/>
        </w:rPr>
        <w:t>h</w:t>
      </w:r>
      <w:proofErr w:type="spellEnd"/>
      <w:r w:rsidR="00124B74">
        <w:rPr>
          <w:rFonts w:ascii="Arial" w:hAnsi="Arial" w:cs="Arial"/>
          <w:bCs/>
          <w:shd w:val="clear" w:color="auto" w:fill="FFFFFF"/>
        </w:rPr>
        <w:t xml:space="preserve"> jajników i w grupie kontrolnej</w:t>
      </w:r>
      <w:r w:rsidR="00ED07A7">
        <w:rPr>
          <w:rFonts w:ascii="Arial" w:hAnsi="Arial" w:cs="Arial"/>
          <w:bCs/>
          <w:shd w:val="clear" w:color="auto" w:fill="FFFFFF"/>
        </w:rPr>
        <w:t>, stwierdzając, że:</w:t>
      </w:r>
    </w:p>
    <w:p w:rsidR="00ED07A7" w:rsidRPr="00ED07A7" w:rsidRDefault="00ED07A7" w:rsidP="00ED07A7">
      <w:pPr>
        <w:pStyle w:val="Akapitzlist"/>
        <w:numPr>
          <w:ilvl w:val="0"/>
          <w:numId w:val="23"/>
        </w:numPr>
        <w:spacing w:line="360" w:lineRule="auto"/>
        <w:ind w:left="709"/>
        <w:jc w:val="both"/>
        <w:rPr>
          <w:rFonts w:ascii="Arial" w:hAnsi="Arial" w:cs="Arial"/>
          <w:bCs/>
          <w:shd w:val="clear" w:color="auto" w:fill="FFFFFF"/>
        </w:rPr>
      </w:pPr>
      <w:r>
        <w:rPr>
          <w:rFonts w:ascii="Arial" w:hAnsi="Arial" w:cs="Arial"/>
          <w:bCs/>
          <w:shd w:val="clear" w:color="auto" w:fill="FFFFFF"/>
        </w:rPr>
        <w:lastRenderedPageBreak/>
        <w:t xml:space="preserve">wskaźnik testosteronu do </w:t>
      </w:r>
      <w:proofErr w:type="spellStart"/>
      <w:r>
        <w:rPr>
          <w:rFonts w:ascii="Arial" w:hAnsi="Arial" w:cs="Arial"/>
          <w:bCs/>
          <w:shd w:val="clear" w:color="auto" w:fill="FFFFFF"/>
        </w:rPr>
        <w:t>dihydrotestosteronu</w:t>
      </w:r>
      <w:proofErr w:type="spellEnd"/>
      <w:r>
        <w:rPr>
          <w:rFonts w:ascii="Arial" w:hAnsi="Arial" w:cs="Arial"/>
          <w:bCs/>
          <w:shd w:val="clear" w:color="auto" w:fill="FFFFFF"/>
        </w:rPr>
        <w:t xml:space="preserve"> koreluje z gorszym profilem metabolicznych </w:t>
      </w:r>
      <w:r w:rsidR="00D852DC">
        <w:rPr>
          <w:rFonts w:ascii="Arial" w:hAnsi="Arial" w:cs="Arial"/>
          <w:bCs/>
          <w:shd w:val="clear" w:color="auto" w:fill="FFFFFF"/>
        </w:rPr>
        <w:t xml:space="preserve">(wskaźnikiem masy ciała, obwodem talii, stężeniem insuliny, wskaźnikiem HOMA) </w:t>
      </w:r>
      <w:r>
        <w:rPr>
          <w:rFonts w:ascii="Arial" w:hAnsi="Arial" w:cs="Arial"/>
          <w:bCs/>
          <w:shd w:val="clear" w:color="auto" w:fill="FFFFFF"/>
        </w:rPr>
        <w:t xml:space="preserve">nie tylko u pacjentek z zespołem </w:t>
      </w:r>
      <w:proofErr w:type="spellStart"/>
      <w:r>
        <w:rPr>
          <w:rFonts w:ascii="Arial" w:hAnsi="Arial" w:cs="Arial"/>
          <w:bCs/>
          <w:shd w:val="clear" w:color="auto" w:fill="FFFFFF"/>
        </w:rPr>
        <w:t>policystycznych</w:t>
      </w:r>
      <w:proofErr w:type="spellEnd"/>
      <w:r>
        <w:rPr>
          <w:rFonts w:ascii="Arial" w:hAnsi="Arial" w:cs="Arial"/>
          <w:bCs/>
          <w:shd w:val="clear" w:color="auto" w:fill="FFFFFF"/>
        </w:rPr>
        <w:t xml:space="preserve"> jajników ale także u kobiet </w:t>
      </w:r>
      <w:r w:rsidR="00E93ADC">
        <w:rPr>
          <w:rFonts w:ascii="Arial" w:hAnsi="Arial" w:cs="Arial"/>
          <w:bCs/>
          <w:shd w:val="clear" w:color="auto" w:fill="FFFFFF"/>
        </w:rPr>
        <w:t xml:space="preserve">bez zespołu </w:t>
      </w:r>
      <w:proofErr w:type="spellStart"/>
      <w:r w:rsidR="00E93ADC">
        <w:rPr>
          <w:rFonts w:ascii="Arial" w:hAnsi="Arial" w:cs="Arial"/>
          <w:bCs/>
          <w:shd w:val="clear" w:color="auto" w:fill="FFFFFF"/>
        </w:rPr>
        <w:t>hiperandrogenizacji</w:t>
      </w:r>
      <w:proofErr w:type="spellEnd"/>
      <w:r w:rsidR="00E93ADC">
        <w:rPr>
          <w:rFonts w:ascii="Arial" w:hAnsi="Arial" w:cs="Arial"/>
          <w:bCs/>
          <w:shd w:val="clear" w:color="auto" w:fill="FFFFFF"/>
        </w:rPr>
        <w:t>.</w:t>
      </w:r>
    </w:p>
    <w:p w:rsidR="00A45E00" w:rsidRDefault="00A45E00" w:rsidP="00082450">
      <w:pPr>
        <w:spacing w:line="240" w:lineRule="auto"/>
        <w:rPr>
          <w:rFonts w:ascii="Arial" w:hAnsi="Arial" w:cs="Arial"/>
          <w:shd w:val="clear" w:color="auto" w:fill="FFFFFF"/>
        </w:rPr>
      </w:pPr>
      <w:r w:rsidRPr="007E4302">
        <w:rPr>
          <w:rFonts w:ascii="Arial" w:hAnsi="Arial" w:cs="Arial"/>
          <w:b/>
          <w:bCs/>
          <w:shd w:val="clear" w:color="auto" w:fill="FFFFFF"/>
        </w:rPr>
        <w:t>Ambroziak U</w:t>
      </w:r>
      <w:r w:rsidRPr="007E4302">
        <w:rPr>
          <w:rFonts w:ascii="Arial" w:hAnsi="Arial" w:cs="Arial"/>
          <w:shd w:val="clear" w:color="auto" w:fill="FFFFFF"/>
        </w:rPr>
        <w:t xml:space="preserve">, Kuryłowicz A, </w:t>
      </w:r>
      <w:proofErr w:type="spellStart"/>
      <w:r w:rsidRPr="007E4302">
        <w:rPr>
          <w:rFonts w:ascii="Arial" w:hAnsi="Arial" w:cs="Arial"/>
          <w:shd w:val="clear" w:color="auto" w:fill="FFFFFF"/>
        </w:rPr>
        <w:t>Kępczyńska-Nyk</w:t>
      </w:r>
      <w:proofErr w:type="spellEnd"/>
      <w:r w:rsidRPr="007E4302">
        <w:rPr>
          <w:rFonts w:ascii="Arial" w:hAnsi="Arial" w:cs="Arial"/>
          <w:shd w:val="clear" w:color="auto" w:fill="FFFFFF"/>
        </w:rPr>
        <w:t xml:space="preserve"> A, Bartoszewicz Z, Kondracka A, Jaźwiec R, </w:t>
      </w:r>
      <w:proofErr w:type="spellStart"/>
      <w:r w:rsidRPr="007E4302">
        <w:rPr>
          <w:rFonts w:ascii="Arial" w:hAnsi="Arial" w:cs="Arial"/>
          <w:shd w:val="clear" w:color="auto" w:fill="FFFFFF"/>
        </w:rPr>
        <w:t>Samborowska</w:t>
      </w:r>
      <w:proofErr w:type="spellEnd"/>
      <w:r w:rsidRPr="007E4302">
        <w:rPr>
          <w:rFonts w:ascii="Arial" w:hAnsi="Arial" w:cs="Arial"/>
          <w:shd w:val="clear" w:color="auto" w:fill="FFFFFF"/>
        </w:rPr>
        <w:t xml:space="preserve"> E, </w:t>
      </w:r>
      <w:proofErr w:type="spellStart"/>
      <w:r w:rsidRPr="007E4302">
        <w:rPr>
          <w:rFonts w:ascii="Arial" w:hAnsi="Arial" w:cs="Arial"/>
          <w:shd w:val="clear" w:color="auto" w:fill="FFFFFF"/>
        </w:rPr>
        <w:t>Dadlez</w:t>
      </w:r>
      <w:proofErr w:type="spellEnd"/>
      <w:r w:rsidRPr="007E4302">
        <w:rPr>
          <w:rFonts w:ascii="Arial" w:hAnsi="Arial" w:cs="Arial"/>
          <w:shd w:val="clear" w:color="auto" w:fill="FFFFFF"/>
        </w:rPr>
        <w:t xml:space="preserve"> M, Wysłouch-Cieszyńska A, Bednarczuk T.</w:t>
      </w:r>
      <w:r w:rsidRPr="007E4302">
        <w:rPr>
          <w:rFonts w:ascii="Arial" w:hAnsi="Arial" w:cs="Arial"/>
        </w:rPr>
        <w:t xml:space="preserve"> </w:t>
      </w:r>
      <w:hyperlink r:id="rId25" w:history="1">
        <w:r w:rsidRPr="007E4302">
          <w:rPr>
            <w:rStyle w:val="Hipercze"/>
            <w:rFonts w:ascii="Arial" w:hAnsi="Arial" w:cs="Arial"/>
            <w:color w:val="auto"/>
            <w:u w:val="none"/>
            <w:shd w:val="clear" w:color="auto" w:fill="FFFFFF"/>
            <w:lang w:val="en-US"/>
          </w:rPr>
          <w:t xml:space="preserve">Total testosterone to </w:t>
        </w:r>
        <w:proofErr w:type="spellStart"/>
        <w:r w:rsidRPr="007E4302">
          <w:rPr>
            <w:rStyle w:val="Hipercze"/>
            <w:rFonts w:ascii="Arial" w:hAnsi="Arial" w:cs="Arial"/>
            <w:color w:val="auto"/>
            <w:u w:val="none"/>
            <w:shd w:val="clear" w:color="auto" w:fill="FFFFFF"/>
            <w:lang w:val="en-US"/>
          </w:rPr>
          <w:t>dihydrotestosterone</w:t>
        </w:r>
        <w:proofErr w:type="spellEnd"/>
        <w:r w:rsidRPr="007E4302">
          <w:rPr>
            <w:rStyle w:val="Hipercze"/>
            <w:rFonts w:ascii="Arial" w:hAnsi="Arial" w:cs="Arial"/>
            <w:color w:val="auto"/>
            <w:u w:val="none"/>
            <w:shd w:val="clear" w:color="auto" w:fill="FFFFFF"/>
            <w:lang w:val="en-US"/>
          </w:rPr>
          <w:t xml:space="preserve"> ratio assessed by LC-MS/MS predicts a worse metabolic profile not only in PCOS patients.</w:t>
        </w:r>
      </w:hyperlink>
      <w:r w:rsidRPr="007E4302">
        <w:rPr>
          <w:rStyle w:val="Nagwek3Znak"/>
          <w:rFonts w:eastAsiaTheme="minorHAnsi"/>
          <w:shd w:val="clear" w:color="auto" w:fill="FFFFFF"/>
          <w:lang w:val="en-US"/>
        </w:rPr>
        <w:t xml:space="preserve"> </w:t>
      </w:r>
      <w:proofErr w:type="spellStart"/>
      <w:r w:rsidRPr="007E4302">
        <w:rPr>
          <w:rStyle w:val="jrnl"/>
          <w:rFonts w:ascii="Arial" w:hAnsi="Arial" w:cs="Arial"/>
          <w:shd w:val="clear" w:color="auto" w:fill="FFFFFF"/>
        </w:rPr>
        <w:t>Ginekol</w:t>
      </w:r>
      <w:proofErr w:type="spellEnd"/>
      <w:r w:rsidRPr="007E4302">
        <w:rPr>
          <w:rStyle w:val="jrnl"/>
          <w:rFonts w:ascii="Arial" w:hAnsi="Arial" w:cs="Arial"/>
          <w:shd w:val="clear" w:color="auto" w:fill="FFFFFF"/>
        </w:rPr>
        <w:t xml:space="preserve"> Pol</w:t>
      </w:r>
      <w:r w:rsidR="000D1967">
        <w:rPr>
          <w:rFonts w:ascii="Arial" w:hAnsi="Arial" w:cs="Arial"/>
          <w:shd w:val="clear" w:color="auto" w:fill="FFFFFF"/>
        </w:rPr>
        <w:t xml:space="preserve">. 2017;88(1):5-8. </w:t>
      </w:r>
    </w:p>
    <w:p w:rsidR="00A45E00" w:rsidRDefault="00B45125" w:rsidP="00082450">
      <w:pPr>
        <w:spacing w:line="360" w:lineRule="auto"/>
        <w:rPr>
          <w:rFonts w:ascii="Arial" w:hAnsi="Arial" w:cs="Arial"/>
          <w:shd w:val="clear" w:color="auto" w:fill="FFFFFF"/>
        </w:rPr>
      </w:pPr>
      <w:r w:rsidRPr="00B45125">
        <w:rPr>
          <w:rFonts w:ascii="Arial" w:hAnsi="Arial" w:cs="Arial"/>
          <w:b/>
          <w:shd w:val="clear" w:color="auto" w:fill="FFFFFF"/>
        </w:rPr>
        <w:t>IF</w:t>
      </w:r>
      <w:r>
        <w:rPr>
          <w:rFonts w:ascii="Arial" w:hAnsi="Arial" w:cs="Arial"/>
          <w:shd w:val="clear" w:color="auto" w:fill="FFFFFF"/>
        </w:rPr>
        <w:t xml:space="preserve"> </w:t>
      </w:r>
      <w:r w:rsidRPr="006926F8">
        <w:rPr>
          <w:rFonts w:ascii="Arial" w:hAnsi="Arial" w:cs="Arial"/>
          <w:b/>
          <w:shd w:val="clear" w:color="auto" w:fill="FFFFFF"/>
        </w:rPr>
        <w:t>0,575</w:t>
      </w:r>
      <w:r>
        <w:rPr>
          <w:rFonts w:ascii="Arial" w:hAnsi="Arial" w:cs="Arial"/>
          <w:shd w:val="clear" w:color="auto" w:fill="FFFFFF"/>
        </w:rPr>
        <w:t xml:space="preserve"> </w:t>
      </w:r>
      <w:proofErr w:type="spellStart"/>
      <w:r w:rsidRPr="006926F8">
        <w:rPr>
          <w:rFonts w:ascii="Arial" w:hAnsi="Arial" w:cs="Arial"/>
          <w:b/>
          <w:shd w:val="clear" w:color="auto" w:fill="FFFFFF"/>
        </w:rPr>
        <w:t>MNiSW</w:t>
      </w:r>
      <w:proofErr w:type="spellEnd"/>
      <w:r w:rsidRPr="006926F8">
        <w:rPr>
          <w:rFonts w:ascii="Arial" w:hAnsi="Arial" w:cs="Arial"/>
          <w:b/>
          <w:shd w:val="clear" w:color="auto" w:fill="FFFFFF"/>
        </w:rPr>
        <w:t xml:space="preserve"> 15</w:t>
      </w:r>
    </w:p>
    <w:p w:rsidR="00B45125" w:rsidRDefault="00B45125" w:rsidP="008F485B">
      <w:pPr>
        <w:spacing w:line="360" w:lineRule="auto"/>
        <w:rPr>
          <w:rFonts w:ascii="Arial" w:hAnsi="Arial" w:cs="Arial"/>
          <w:shd w:val="clear" w:color="auto" w:fill="FFFFFF"/>
        </w:rPr>
      </w:pPr>
    </w:p>
    <w:p w:rsidR="00E93ADC" w:rsidRDefault="005F61EE" w:rsidP="00ED5BB9">
      <w:pPr>
        <w:spacing w:line="360" w:lineRule="auto"/>
        <w:ind w:firstLine="708"/>
        <w:jc w:val="both"/>
        <w:rPr>
          <w:rFonts w:ascii="Arial" w:hAnsi="Arial" w:cs="Arial"/>
          <w:shd w:val="clear" w:color="auto" w:fill="FFFFFF"/>
        </w:rPr>
      </w:pPr>
      <w:r>
        <w:rPr>
          <w:rFonts w:ascii="Arial" w:hAnsi="Arial" w:cs="Arial"/>
          <w:shd w:val="clear" w:color="auto" w:fill="FFFFFF"/>
        </w:rPr>
        <w:t>W ostatnim przedstawianym badaniu oceniliśmy bezpieczeństwo nowych kontrowersyjnych zaleceń dotyczących leczenia hiponatremii</w:t>
      </w:r>
      <w:r w:rsidR="0090626C">
        <w:rPr>
          <w:rFonts w:ascii="Arial" w:hAnsi="Arial" w:cs="Arial"/>
          <w:shd w:val="clear" w:color="auto" w:fill="FFFFFF"/>
        </w:rPr>
        <w:t xml:space="preserve"> w oparciu o doświadczenie Kliniki </w:t>
      </w:r>
      <w:r w:rsidR="006029AB">
        <w:rPr>
          <w:rFonts w:ascii="Arial" w:hAnsi="Arial" w:cs="Arial"/>
          <w:shd w:val="clear" w:color="auto" w:fill="FFFFFF"/>
        </w:rPr>
        <w:t xml:space="preserve">Chorób Wewnętrznych i </w:t>
      </w:r>
      <w:r w:rsidR="0090626C">
        <w:rPr>
          <w:rFonts w:ascii="Arial" w:hAnsi="Arial" w:cs="Arial"/>
          <w:shd w:val="clear" w:color="auto" w:fill="FFFFFF"/>
        </w:rPr>
        <w:t>Endokrynologii W</w:t>
      </w:r>
      <w:r w:rsidR="007D650B">
        <w:rPr>
          <w:rFonts w:ascii="Arial" w:hAnsi="Arial" w:cs="Arial"/>
          <w:shd w:val="clear" w:color="auto" w:fill="FFFFFF"/>
        </w:rPr>
        <w:t>arszawskiego Uniwersytetu Medycznego</w:t>
      </w:r>
      <w:r w:rsidR="00E93ADC">
        <w:rPr>
          <w:rFonts w:ascii="Arial" w:hAnsi="Arial" w:cs="Arial"/>
          <w:shd w:val="clear" w:color="auto" w:fill="FFFFFF"/>
        </w:rPr>
        <w:t>, gdzie potwierdzono, że:</w:t>
      </w:r>
    </w:p>
    <w:p w:rsidR="00C03152" w:rsidRPr="00C03152" w:rsidRDefault="00E93ADC" w:rsidP="00E93ADC">
      <w:pPr>
        <w:pStyle w:val="Akapitzlist"/>
        <w:numPr>
          <w:ilvl w:val="0"/>
          <w:numId w:val="23"/>
        </w:numPr>
        <w:spacing w:line="360" w:lineRule="auto"/>
        <w:ind w:left="709"/>
        <w:jc w:val="both"/>
        <w:rPr>
          <w:rFonts w:ascii="Arial" w:hAnsi="Arial" w:cs="Arial"/>
          <w:shd w:val="clear" w:color="auto" w:fill="FFFFFF"/>
        </w:rPr>
      </w:pPr>
      <w:r w:rsidRPr="00C03152">
        <w:rPr>
          <w:rFonts w:ascii="Arial" w:hAnsi="Arial" w:cs="Arial"/>
        </w:rPr>
        <w:t>klasyfikacja hiponatremii w oparciu o ciężkoś</w:t>
      </w:r>
      <w:r w:rsidR="00C03152" w:rsidRPr="00C03152">
        <w:rPr>
          <w:rFonts w:ascii="Arial" w:hAnsi="Arial" w:cs="Arial"/>
        </w:rPr>
        <w:t>ć</w:t>
      </w:r>
      <w:r w:rsidRPr="00C03152">
        <w:rPr>
          <w:rFonts w:ascii="Arial" w:hAnsi="Arial" w:cs="Arial"/>
        </w:rPr>
        <w:t xml:space="preserve"> objawów jest pomocna </w:t>
      </w:r>
      <w:r w:rsidR="00C03152" w:rsidRPr="00C03152">
        <w:rPr>
          <w:rFonts w:ascii="Arial" w:hAnsi="Arial" w:cs="Arial"/>
        </w:rPr>
        <w:t>i</w:t>
      </w:r>
      <w:r w:rsidRPr="00C03152">
        <w:rPr>
          <w:rFonts w:ascii="Arial" w:hAnsi="Arial" w:cs="Arial"/>
        </w:rPr>
        <w:t xml:space="preserve"> łatwa do wdrożenia do praktyki klinicznej</w:t>
      </w:r>
      <w:r w:rsidR="00C03152" w:rsidRPr="00C03152">
        <w:rPr>
          <w:rFonts w:ascii="Arial" w:hAnsi="Arial" w:cs="Arial"/>
        </w:rPr>
        <w:t xml:space="preserve"> </w:t>
      </w:r>
    </w:p>
    <w:p w:rsidR="00140825" w:rsidRPr="006029AB" w:rsidRDefault="00C03152" w:rsidP="006029AB">
      <w:pPr>
        <w:pStyle w:val="Akapitzlist"/>
        <w:numPr>
          <w:ilvl w:val="0"/>
          <w:numId w:val="23"/>
        </w:numPr>
        <w:spacing w:line="360" w:lineRule="auto"/>
        <w:ind w:left="709" w:hanging="357"/>
        <w:jc w:val="both"/>
        <w:rPr>
          <w:rFonts w:cs="Arial"/>
          <w:shd w:val="clear" w:color="auto" w:fill="FFFFFF"/>
        </w:rPr>
      </w:pPr>
      <w:r w:rsidRPr="00140825">
        <w:rPr>
          <w:rFonts w:ascii="Arial" w:hAnsi="Arial" w:cs="Arial"/>
        </w:rPr>
        <w:t xml:space="preserve">leczenie pacjentów z umiarkowanymi i </w:t>
      </w:r>
      <w:r w:rsidR="00140825">
        <w:rPr>
          <w:rFonts w:ascii="Arial" w:hAnsi="Arial" w:cs="Arial"/>
        </w:rPr>
        <w:t>cięż</w:t>
      </w:r>
      <w:r w:rsidRPr="00140825">
        <w:rPr>
          <w:rFonts w:ascii="Arial" w:hAnsi="Arial" w:cs="Arial"/>
        </w:rPr>
        <w:t xml:space="preserve">kimi objawami hiponatremii za pomocą wlewów 3% soli fizjologicznej </w:t>
      </w:r>
      <w:r w:rsidR="00E93ADC" w:rsidRPr="00140825">
        <w:rPr>
          <w:rFonts w:ascii="Arial" w:hAnsi="Arial" w:cs="Arial"/>
        </w:rPr>
        <w:t xml:space="preserve"> </w:t>
      </w:r>
      <w:r w:rsidR="00140825" w:rsidRPr="00140825">
        <w:rPr>
          <w:rFonts w:ascii="Arial" w:hAnsi="Arial" w:cs="Arial"/>
        </w:rPr>
        <w:t>jest skuteczną</w:t>
      </w:r>
      <w:r w:rsidRPr="00140825">
        <w:rPr>
          <w:rFonts w:ascii="Arial" w:hAnsi="Arial" w:cs="Arial"/>
        </w:rPr>
        <w:t xml:space="preserve"> i bezpieczn</w:t>
      </w:r>
      <w:r w:rsidR="00140825" w:rsidRPr="00140825">
        <w:rPr>
          <w:rFonts w:ascii="Arial" w:hAnsi="Arial" w:cs="Arial"/>
        </w:rPr>
        <w:t>ą</w:t>
      </w:r>
      <w:r w:rsidRPr="00140825">
        <w:rPr>
          <w:rFonts w:ascii="Arial" w:hAnsi="Arial" w:cs="Arial"/>
        </w:rPr>
        <w:t xml:space="preserve"> metodą leczenia</w:t>
      </w:r>
      <w:r w:rsidR="00377AD5">
        <w:rPr>
          <w:rFonts w:ascii="Arial" w:hAnsi="Arial" w:cs="Arial"/>
        </w:rPr>
        <w:t>.</w:t>
      </w:r>
      <w:r w:rsidR="00E93ADC" w:rsidRPr="00140825">
        <w:rPr>
          <w:rFonts w:ascii="Arial" w:hAnsi="Arial" w:cs="Arial"/>
        </w:rPr>
        <w:t xml:space="preserve"> </w:t>
      </w:r>
    </w:p>
    <w:p w:rsidR="00A45E00" w:rsidRPr="00140825" w:rsidRDefault="00A45E00" w:rsidP="00082450">
      <w:pPr>
        <w:spacing w:line="240" w:lineRule="auto"/>
        <w:rPr>
          <w:rStyle w:val="apple-converted-space"/>
          <w:rFonts w:cs="Arial"/>
          <w:shd w:val="clear" w:color="auto" w:fill="FFFFFF"/>
        </w:rPr>
      </w:pPr>
      <w:r w:rsidRPr="00140825">
        <w:rPr>
          <w:rFonts w:ascii="Arial" w:hAnsi="Arial" w:cs="Arial"/>
          <w:shd w:val="clear" w:color="auto" w:fill="FFFFFF"/>
        </w:rPr>
        <w:t xml:space="preserve">Kuryłowicz A, Wesołowska AS, Wolska A, </w:t>
      </w:r>
      <w:proofErr w:type="spellStart"/>
      <w:r w:rsidRPr="00140825">
        <w:rPr>
          <w:rFonts w:ascii="Arial" w:hAnsi="Arial" w:cs="Arial"/>
          <w:shd w:val="clear" w:color="auto" w:fill="FFFFFF"/>
        </w:rPr>
        <w:t>Pachucki</w:t>
      </w:r>
      <w:proofErr w:type="spellEnd"/>
      <w:r w:rsidRPr="00140825">
        <w:rPr>
          <w:rFonts w:ascii="Arial" w:hAnsi="Arial" w:cs="Arial"/>
          <w:shd w:val="clear" w:color="auto" w:fill="FFFFFF"/>
        </w:rPr>
        <w:t xml:space="preserve"> J, Bednarczuk T,</w:t>
      </w:r>
      <w:r w:rsidRPr="00140825">
        <w:rPr>
          <w:rStyle w:val="apple-converted-space"/>
          <w:rFonts w:cs="Arial"/>
          <w:shd w:val="clear" w:color="auto" w:fill="FFFFFF"/>
        </w:rPr>
        <w:t> </w:t>
      </w:r>
      <w:r w:rsidRPr="00140825">
        <w:rPr>
          <w:rFonts w:ascii="Arial" w:hAnsi="Arial" w:cs="Arial"/>
          <w:b/>
          <w:bCs/>
          <w:shd w:val="clear" w:color="auto" w:fill="FFFFFF"/>
        </w:rPr>
        <w:t>Ambroziak U</w:t>
      </w:r>
      <w:r w:rsidR="005F61EE" w:rsidRPr="00140825">
        <w:rPr>
          <w:rFonts w:ascii="Arial" w:hAnsi="Arial" w:cs="Arial"/>
          <w:b/>
          <w:bCs/>
          <w:shd w:val="clear" w:color="auto" w:fill="FFFFFF"/>
        </w:rPr>
        <w:t xml:space="preserve"> (autor korespondencyjny)</w:t>
      </w:r>
      <w:r w:rsidRPr="00140825">
        <w:rPr>
          <w:rFonts w:ascii="Arial" w:hAnsi="Arial" w:cs="Arial"/>
          <w:shd w:val="clear" w:color="auto" w:fill="FFFFFF"/>
        </w:rPr>
        <w:t>.</w:t>
      </w:r>
      <w:r w:rsidRPr="00140825">
        <w:rPr>
          <w:rFonts w:ascii="Arial" w:hAnsi="Arial" w:cs="Arial"/>
        </w:rPr>
        <w:t xml:space="preserve"> </w:t>
      </w:r>
      <w:hyperlink r:id="rId26" w:history="1">
        <w:r w:rsidRPr="00140825">
          <w:rPr>
            <w:rStyle w:val="Hipercze"/>
            <w:rFonts w:ascii="Arial" w:hAnsi="Arial" w:cs="Arial"/>
            <w:color w:val="auto"/>
            <w:u w:val="none"/>
            <w:shd w:val="clear" w:color="auto" w:fill="FFFFFF"/>
            <w:lang w:val="en-US"/>
          </w:rPr>
          <w:t xml:space="preserve">Safety and effectiveness of symptomatic </w:t>
        </w:r>
        <w:proofErr w:type="spellStart"/>
        <w:r w:rsidRPr="00140825">
          <w:rPr>
            <w:rStyle w:val="Hipercze"/>
            <w:rFonts w:ascii="Arial" w:hAnsi="Arial" w:cs="Arial"/>
            <w:color w:val="auto"/>
            <w:u w:val="none"/>
            <w:shd w:val="clear" w:color="auto" w:fill="FFFFFF"/>
            <w:lang w:val="en-US"/>
          </w:rPr>
          <w:t>hyponatremia</w:t>
        </w:r>
        <w:proofErr w:type="spellEnd"/>
        <w:r w:rsidRPr="00140825">
          <w:rPr>
            <w:rStyle w:val="Hipercze"/>
            <w:rFonts w:ascii="Arial" w:hAnsi="Arial" w:cs="Arial"/>
            <w:color w:val="auto"/>
            <w:u w:val="none"/>
            <w:shd w:val="clear" w:color="auto" w:fill="FFFFFF"/>
            <w:lang w:val="en-US"/>
          </w:rPr>
          <w:t xml:space="preserve"> treatment according to the European Society of Endocrinology guidelines: a retrospective study.</w:t>
        </w:r>
      </w:hyperlink>
      <w:r w:rsidRPr="00140825">
        <w:rPr>
          <w:rStyle w:val="Nagwek3Znak"/>
          <w:rFonts w:eastAsiaTheme="minorHAnsi"/>
          <w:shd w:val="clear" w:color="auto" w:fill="FFFFFF"/>
          <w:lang w:val="en-US"/>
        </w:rPr>
        <w:t xml:space="preserve"> </w:t>
      </w:r>
      <w:r w:rsidRPr="00140825">
        <w:rPr>
          <w:rStyle w:val="jrnl"/>
          <w:rFonts w:ascii="Arial" w:hAnsi="Arial" w:cs="Arial"/>
          <w:shd w:val="clear" w:color="auto" w:fill="FFFFFF"/>
        </w:rPr>
        <w:t xml:space="preserve">Pol </w:t>
      </w:r>
      <w:proofErr w:type="spellStart"/>
      <w:r w:rsidRPr="00140825">
        <w:rPr>
          <w:rStyle w:val="jrnl"/>
          <w:rFonts w:ascii="Arial" w:hAnsi="Arial" w:cs="Arial"/>
          <w:shd w:val="clear" w:color="auto" w:fill="FFFFFF"/>
        </w:rPr>
        <w:t>Arch</w:t>
      </w:r>
      <w:proofErr w:type="spellEnd"/>
      <w:r w:rsidRPr="00140825">
        <w:rPr>
          <w:rStyle w:val="jrnl"/>
          <w:rFonts w:ascii="Arial" w:hAnsi="Arial" w:cs="Arial"/>
          <w:shd w:val="clear" w:color="auto" w:fill="FFFFFF"/>
        </w:rPr>
        <w:t xml:space="preserve"> Intern Med</w:t>
      </w:r>
      <w:r w:rsidRPr="00140825">
        <w:rPr>
          <w:rFonts w:ascii="Arial" w:hAnsi="Arial" w:cs="Arial"/>
          <w:shd w:val="clear" w:color="auto" w:fill="FFFFFF"/>
        </w:rPr>
        <w:t xml:space="preserve">. 2017 ;127(3):205-208. </w:t>
      </w:r>
    </w:p>
    <w:p w:rsidR="00B45125" w:rsidRPr="004D6BB8" w:rsidRDefault="00B45125" w:rsidP="00082450">
      <w:pPr>
        <w:spacing w:line="240" w:lineRule="auto"/>
        <w:rPr>
          <w:rFonts w:ascii="Arial" w:hAnsi="Arial" w:cs="Arial"/>
          <w:shd w:val="clear" w:color="auto" w:fill="FFFFFF"/>
        </w:rPr>
      </w:pPr>
      <w:r w:rsidRPr="004D6BB8">
        <w:rPr>
          <w:rFonts w:ascii="Arial" w:hAnsi="Arial" w:cs="Arial"/>
          <w:b/>
          <w:shd w:val="clear" w:color="auto" w:fill="FFFFFF"/>
        </w:rPr>
        <w:t>IF</w:t>
      </w:r>
      <w:r w:rsidRPr="004D6BB8">
        <w:rPr>
          <w:rFonts w:ascii="Arial" w:hAnsi="Arial" w:cs="Arial"/>
          <w:shd w:val="clear" w:color="auto" w:fill="FFFFFF"/>
        </w:rPr>
        <w:t xml:space="preserve"> </w:t>
      </w:r>
      <w:r w:rsidRPr="006926F8">
        <w:rPr>
          <w:rFonts w:ascii="Arial" w:hAnsi="Arial" w:cs="Arial"/>
          <w:b/>
          <w:shd w:val="clear" w:color="auto" w:fill="FFFFFF"/>
        </w:rPr>
        <w:t>2,309</w:t>
      </w:r>
      <w:r w:rsidRPr="004D6BB8">
        <w:rPr>
          <w:rFonts w:ascii="Arial" w:hAnsi="Arial" w:cs="Arial"/>
          <w:shd w:val="clear" w:color="auto" w:fill="FFFFFF"/>
        </w:rPr>
        <w:t xml:space="preserve">  </w:t>
      </w:r>
    </w:p>
    <w:p w:rsidR="00A45E00" w:rsidRDefault="00A45E00" w:rsidP="008F485B">
      <w:pPr>
        <w:spacing w:line="360" w:lineRule="auto"/>
        <w:rPr>
          <w:rFonts w:ascii="Arial" w:hAnsi="Arial" w:cs="Arial"/>
          <w:shd w:val="clear" w:color="auto" w:fill="FFFFFF"/>
        </w:rPr>
      </w:pPr>
    </w:p>
    <w:p w:rsidR="00C2000C" w:rsidRPr="00C2000C" w:rsidRDefault="00C2000C" w:rsidP="008F485B">
      <w:pPr>
        <w:spacing w:line="360" w:lineRule="auto"/>
        <w:rPr>
          <w:rFonts w:ascii="Arial" w:hAnsi="Arial" w:cs="Arial"/>
          <w:b/>
          <w:shd w:val="clear" w:color="auto" w:fill="FFFFFF"/>
        </w:rPr>
      </w:pPr>
      <w:r w:rsidRPr="00C2000C">
        <w:rPr>
          <w:rFonts w:ascii="Arial" w:hAnsi="Arial" w:cs="Arial"/>
          <w:b/>
          <w:shd w:val="clear" w:color="auto" w:fill="FFFFFF"/>
        </w:rPr>
        <w:t xml:space="preserve">Przynależność do Towarzystw Naukowych   </w:t>
      </w:r>
    </w:p>
    <w:p w:rsidR="00BC42DC" w:rsidRDefault="00ED5BB9" w:rsidP="00C2000C">
      <w:pPr>
        <w:spacing w:line="360" w:lineRule="auto"/>
        <w:ind w:firstLine="708"/>
        <w:jc w:val="both"/>
        <w:rPr>
          <w:rFonts w:ascii="Arial" w:hAnsi="Arial" w:cs="Arial"/>
          <w:bCs/>
          <w:shd w:val="clear" w:color="auto" w:fill="FFFFFF"/>
        </w:rPr>
      </w:pPr>
      <w:r w:rsidRPr="00BC42DC">
        <w:rPr>
          <w:rFonts w:ascii="Arial" w:hAnsi="Arial" w:cs="Arial"/>
          <w:bCs/>
          <w:shd w:val="clear" w:color="auto" w:fill="FFFFFF"/>
        </w:rPr>
        <w:t xml:space="preserve">Jestem członkiem </w:t>
      </w:r>
      <w:r w:rsidR="00BC42DC" w:rsidRPr="00BC42DC">
        <w:rPr>
          <w:rFonts w:ascii="Arial" w:hAnsi="Arial" w:cs="Arial"/>
          <w:bCs/>
          <w:shd w:val="clear" w:color="auto" w:fill="FFFFFF"/>
        </w:rPr>
        <w:t>Polskiego Towarzystwa Endokrynologicznego</w:t>
      </w:r>
      <w:r w:rsidR="00377AD5">
        <w:rPr>
          <w:rFonts w:ascii="Arial" w:hAnsi="Arial" w:cs="Arial"/>
          <w:bCs/>
          <w:shd w:val="clear" w:color="auto" w:fill="FFFFFF"/>
        </w:rPr>
        <w:t xml:space="preserve"> (PTE)</w:t>
      </w:r>
      <w:r w:rsidR="00BC42DC" w:rsidRPr="00BC42DC">
        <w:rPr>
          <w:rFonts w:ascii="Arial" w:hAnsi="Arial" w:cs="Arial"/>
          <w:bCs/>
          <w:shd w:val="clear" w:color="auto" w:fill="FFFFFF"/>
        </w:rPr>
        <w:t>, Europejskiego To</w:t>
      </w:r>
      <w:r w:rsidR="00BC42DC">
        <w:rPr>
          <w:rFonts w:ascii="Arial" w:hAnsi="Arial" w:cs="Arial"/>
          <w:bCs/>
          <w:shd w:val="clear" w:color="auto" w:fill="FFFFFF"/>
        </w:rPr>
        <w:t>wa</w:t>
      </w:r>
      <w:r w:rsidR="00BC42DC" w:rsidRPr="00BC42DC">
        <w:rPr>
          <w:rFonts w:ascii="Arial" w:hAnsi="Arial" w:cs="Arial"/>
          <w:bCs/>
          <w:shd w:val="clear" w:color="auto" w:fill="FFFFFF"/>
        </w:rPr>
        <w:t>rzystwa Endokrynologicznego</w:t>
      </w:r>
      <w:r w:rsidR="00377AD5">
        <w:rPr>
          <w:rFonts w:ascii="Arial" w:hAnsi="Arial" w:cs="Arial"/>
          <w:bCs/>
          <w:shd w:val="clear" w:color="auto" w:fill="FFFFFF"/>
        </w:rPr>
        <w:t xml:space="preserve"> (ESE)</w:t>
      </w:r>
      <w:r w:rsidR="00BC42DC" w:rsidRPr="00BC42DC">
        <w:rPr>
          <w:rFonts w:ascii="Arial" w:hAnsi="Arial" w:cs="Arial"/>
          <w:bCs/>
          <w:shd w:val="clear" w:color="auto" w:fill="FFFFFF"/>
        </w:rPr>
        <w:t xml:space="preserve"> oraz</w:t>
      </w:r>
      <w:r w:rsidR="00BC42DC">
        <w:rPr>
          <w:rFonts w:ascii="Arial" w:hAnsi="Arial" w:cs="Arial"/>
          <w:bCs/>
          <w:shd w:val="clear" w:color="auto" w:fill="FFFFFF"/>
        </w:rPr>
        <w:t xml:space="preserve"> Europejskiej Sieci </w:t>
      </w:r>
      <w:r w:rsidR="008424C0">
        <w:rPr>
          <w:rFonts w:ascii="Arial" w:hAnsi="Arial" w:cs="Arial"/>
          <w:bCs/>
          <w:shd w:val="clear" w:color="auto" w:fill="FFFFFF"/>
        </w:rPr>
        <w:t xml:space="preserve">do </w:t>
      </w:r>
      <w:r w:rsidR="00BC42DC">
        <w:rPr>
          <w:rFonts w:ascii="Arial" w:hAnsi="Arial" w:cs="Arial"/>
          <w:bCs/>
          <w:shd w:val="clear" w:color="auto" w:fill="FFFFFF"/>
        </w:rPr>
        <w:t>Badań Guzów Nadnerczy  (ENSAT).</w:t>
      </w:r>
    </w:p>
    <w:p w:rsidR="003F204A" w:rsidRDefault="003F204A" w:rsidP="00C2000C">
      <w:pPr>
        <w:spacing w:line="360" w:lineRule="auto"/>
        <w:jc w:val="both"/>
        <w:rPr>
          <w:rFonts w:ascii="Arial" w:hAnsi="Arial" w:cs="Arial"/>
          <w:b/>
          <w:bCs/>
          <w:shd w:val="clear" w:color="auto" w:fill="FFFFFF"/>
        </w:rPr>
      </w:pPr>
    </w:p>
    <w:p w:rsidR="00C2000C" w:rsidRPr="00C2000C" w:rsidRDefault="00C2000C" w:rsidP="00C2000C">
      <w:pPr>
        <w:spacing w:line="360" w:lineRule="auto"/>
        <w:jc w:val="both"/>
        <w:rPr>
          <w:rFonts w:ascii="Arial" w:hAnsi="Arial" w:cs="Arial"/>
          <w:b/>
          <w:bCs/>
          <w:shd w:val="clear" w:color="auto" w:fill="FFFFFF"/>
        </w:rPr>
      </w:pPr>
      <w:r>
        <w:rPr>
          <w:rFonts w:ascii="Arial" w:hAnsi="Arial" w:cs="Arial"/>
          <w:b/>
          <w:bCs/>
          <w:shd w:val="clear" w:color="auto" w:fill="FFFFFF"/>
        </w:rPr>
        <w:t>Współpraca mię</w:t>
      </w:r>
      <w:r w:rsidRPr="00C2000C">
        <w:rPr>
          <w:rFonts w:ascii="Arial" w:hAnsi="Arial" w:cs="Arial"/>
          <w:b/>
          <w:bCs/>
          <w:shd w:val="clear" w:color="auto" w:fill="FFFFFF"/>
        </w:rPr>
        <w:t xml:space="preserve">dzynarodowa </w:t>
      </w:r>
    </w:p>
    <w:p w:rsidR="00B110D9" w:rsidRDefault="009F1AA5" w:rsidP="008424C0">
      <w:pPr>
        <w:spacing w:line="360" w:lineRule="auto"/>
        <w:ind w:firstLine="708"/>
        <w:jc w:val="both"/>
        <w:rPr>
          <w:rFonts w:ascii="Arial" w:hAnsi="Arial" w:cs="Arial"/>
          <w:bCs/>
          <w:shd w:val="clear" w:color="auto" w:fill="FFFFFF"/>
        </w:rPr>
      </w:pPr>
      <w:r>
        <w:rPr>
          <w:rFonts w:ascii="Arial" w:hAnsi="Arial" w:cs="Arial"/>
          <w:bCs/>
          <w:shd w:val="clear" w:color="auto" w:fill="FFFFFF"/>
        </w:rPr>
        <w:t xml:space="preserve">W ramach grupy ENSAT uczestniczę od 2013 roku </w:t>
      </w:r>
      <w:r w:rsidR="00023B13">
        <w:rPr>
          <w:rFonts w:ascii="Arial" w:hAnsi="Arial" w:cs="Arial"/>
          <w:bCs/>
          <w:shd w:val="clear" w:color="auto" w:fill="FFFFFF"/>
        </w:rPr>
        <w:t xml:space="preserve">w </w:t>
      </w:r>
      <w:r>
        <w:rPr>
          <w:rFonts w:ascii="Arial" w:hAnsi="Arial" w:cs="Arial"/>
          <w:bCs/>
          <w:shd w:val="clear" w:color="auto" w:fill="FFFFFF"/>
        </w:rPr>
        <w:t xml:space="preserve">wieloośrodkowym badaniu </w:t>
      </w:r>
      <w:proofErr w:type="spellStart"/>
      <w:r>
        <w:rPr>
          <w:rFonts w:ascii="Arial" w:hAnsi="Arial" w:cs="Arial"/>
          <w:bCs/>
          <w:shd w:val="clear" w:color="auto" w:fill="FFFFFF"/>
        </w:rPr>
        <w:t>EURINE-ACT</w:t>
      </w:r>
      <w:proofErr w:type="spellEnd"/>
      <w:r w:rsidR="005D41E9">
        <w:rPr>
          <w:rFonts w:ascii="Arial" w:hAnsi="Arial" w:cs="Arial"/>
          <w:bCs/>
          <w:shd w:val="clear" w:color="auto" w:fill="FFFFFF"/>
        </w:rPr>
        <w:t>,</w:t>
      </w:r>
      <w:r w:rsidR="00023B13">
        <w:rPr>
          <w:rFonts w:ascii="Arial" w:hAnsi="Arial" w:cs="Arial"/>
          <w:bCs/>
          <w:shd w:val="clear" w:color="auto" w:fill="FFFFFF"/>
        </w:rPr>
        <w:t xml:space="preserve"> kierowanym przez prof. </w:t>
      </w:r>
      <w:proofErr w:type="spellStart"/>
      <w:r w:rsidR="00023B13">
        <w:rPr>
          <w:rFonts w:ascii="Arial" w:hAnsi="Arial" w:cs="Arial"/>
          <w:bCs/>
          <w:shd w:val="clear" w:color="auto" w:fill="FFFFFF"/>
        </w:rPr>
        <w:t>Wiebke</w:t>
      </w:r>
      <w:proofErr w:type="spellEnd"/>
      <w:r w:rsidR="00023B13">
        <w:rPr>
          <w:rFonts w:ascii="Arial" w:hAnsi="Arial" w:cs="Arial"/>
          <w:bCs/>
          <w:shd w:val="clear" w:color="auto" w:fill="FFFFFF"/>
        </w:rPr>
        <w:t xml:space="preserve"> </w:t>
      </w:r>
      <w:proofErr w:type="spellStart"/>
      <w:r w:rsidR="00023B13">
        <w:rPr>
          <w:rFonts w:ascii="Arial" w:hAnsi="Arial" w:cs="Arial"/>
          <w:bCs/>
          <w:shd w:val="clear" w:color="auto" w:fill="FFFFFF"/>
        </w:rPr>
        <w:t>Arlt</w:t>
      </w:r>
      <w:proofErr w:type="spellEnd"/>
      <w:r w:rsidR="00023B13">
        <w:rPr>
          <w:rFonts w:ascii="Arial" w:hAnsi="Arial" w:cs="Arial"/>
          <w:bCs/>
          <w:shd w:val="clear" w:color="auto" w:fill="FFFFFF"/>
        </w:rPr>
        <w:t xml:space="preserve"> z </w:t>
      </w:r>
      <w:proofErr w:type="spellStart"/>
      <w:r w:rsidR="00023B13" w:rsidRPr="00023B13">
        <w:rPr>
          <w:rFonts w:ascii="Arial" w:eastAsia="Times New Roman" w:hAnsi="Arial" w:cs="Arial"/>
          <w:color w:val="000000"/>
        </w:rPr>
        <w:t>University</w:t>
      </w:r>
      <w:proofErr w:type="spellEnd"/>
      <w:r w:rsidR="00023B13" w:rsidRPr="00023B13">
        <w:rPr>
          <w:rFonts w:ascii="Arial" w:eastAsia="Times New Roman" w:hAnsi="Arial" w:cs="Arial"/>
          <w:color w:val="000000"/>
        </w:rPr>
        <w:t xml:space="preserve"> of Birmingham, </w:t>
      </w:r>
      <w:proofErr w:type="spellStart"/>
      <w:r w:rsidR="00023B13" w:rsidRPr="00023B13">
        <w:rPr>
          <w:rFonts w:ascii="Arial" w:eastAsia="Times New Roman" w:hAnsi="Arial" w:cs="Arial"/>
          <w:color w:val="000000"/>
        </w:rPr>
        <w:t>Institute</w:t>
      </w:r>
      <w:proofErr w:type="spellEnd"/>
      <w:r w:rsidR="00023B13" w:rsidRPr="00023B13">
        <w:rPr>
          <w:rFonts w:ascii="Arial" w:eastAsia="Times New Roman" w:hAnsi="Arial" w:cs="Arial"/>
          <w:color w:val="000000"/>
        </w:rPr>
        <w:t xml:space="preserve"> of </w:t>
      </w:r>
      <w:proofErr w:type="spellStart"/>
      <w:r w:rsidR="00023B13" w:rsidRPr="00023B13">
        <w:rPr>
          <w:rFonts w:ascii="Arial" w:eastAsia="Times New Roman" w:hAnsi="Arial" w:cs="Arial"/>
          <w:color w:val="000000"/>
        </w:rPr>
        <w:t>Metabolism</w:t>
      </w:r>
      <w:proofErr w:type="spellEnd"/>
      <w:r w:rsidR="00023B13" w:rsidRPr="00023B13">
        <w:rPr>
          <w:rFonts w:ascii="Arial" w:eastAsia="Times New Roman" w:hAnsi="Arial" w:cs="Arial"/>
          <w:color w:val="000000"/>
        </w:rPr>
        <w:t xml:space="preserve"> and System </w:t>
      </w:r>
      <w:proofErr w:type="spellStart"/>
      <w:r w:rsidR="00023B13" w:rsidRPr="00023B13">
        <w:rPr>
          <w:rFonts w:ascii="Arial" w:eastAsia="Times New Roman" w:hAnsi="Arial" w:cs="Arial"/>
          <w:color w:val="000000"/>
        </w:rPr>
        <w:t>Research</w:t>
      </w:r>
      <w:proofErr w:type="spellEnd"/>
      <w:r w:rsidR="00023B13">
        <w:rPr>
          <w:rFonts w:ascii="Times New Roman" w:eastAsia="Times New Roman" w:hAnsi="Times New Roman" w:cs="Times New Roman"/>
          <w:color w:val="000000"/>
          <w:sz w:val="24"/>
          <w:szCs w:val="24"/>
        </w:rPr>
        <w:t>,</w:t>
      </w:r>
      <w:r w:rsidR="005D41E9">
        <w:rPr>
          <w:rFonts w:ascii="Arial" w:hAnsi="Arial" w:cs="Arial"/>
          <w:bCs/>
          <w:shd w:val="clear" w:color="auto" w:fill="FFFFFF"/>
        </w:rPr>
        <w:t xml:space="preserve"> dotyczącym wykorzystania </w:t>
      </w:r>
      <w:r w:rsidR="00023B13">
        <w:rPr>
          <w:rFonts w:ascii="Arial" w:hAnsi="Arial" w:cs="Arial"/>
          <w:bCs/>
          <w:shd w:val="clear" w:color="auto" w:fill="FFFFFF"/>
        </w:rPr>
        <w:t>analizy pr</w:t>
      </w:r>
      <w:r w:rsidR="00B110D9">
        <w:rPr>
          <w:rFonts w:ascii="Arial" w:hAnsi="Arial" w:cs="Arial"/>
          <w:bCs/>
          <w:shd w:val="clear" w:color="auto" w:fill="FFFFFF"/>
        </w:rPr>
        <w:t>ofilowej</w:t>
      </w:r>
      <w:r w:rsidR="00023B13">
        <w:rPr>
          <w:rFonts w:ascii="Arial" w:hAnsi="Arial" w:cs="Arial"/>
          <w:bCs/>
          <w:shd w:val="clear" w:color="auto" w:fill="FFFFFF"/>
        </w:rPr>
        <w:t xml:space="preserve"> steroidów </w:t>
      </w:r>
      <w:r w:rsidR="00B36CAD">
        <w:rPr>
          <w:rFonts w:ascii="Arial" w:hAnsi="Arial" w:cs="Arial"/>
          <w:bCs/>
          <w:shd w:val="clear" w:color="auto" w:fill="FFFFFF"/>
        </w:rPr>
        <w:t xml:space="preserve">w </w:t>
      </w:r>
      <w:r w:rsidR="00B36CAD">
        <w:rPr>
          <w:rFonts w:ascii="Arial" w:hAnsi="Arial" w:cs="Arial"/>
          <w:bCs/>
          <w:shd w:val="clear" w:color="auto" w:fill="FFFFFF"/>
        </w:rPr>
        <w:lastRenderedPageBreak/>
        <w:t xml:space="preserve">moczu </w:t>
      </w:r>
      <w:r w:rsidR="00023B13">
        <w:rPr>
          <w:rFonts w:ascii="Arial" w:hAnsi="Arial" w:cs="Arial"/>
          <w:bCs/>
          <w:shd w:val="clear" w:color="auto" w:fill="FFFFFF"/>
        </w:rPr>
        <w:t>o</w:t>
      </w:r>
      <w:r w:rsidR="000D0D2E">
        <w:rPr>
          <w:rFonts w:ascii="Arial" w:hAnsi="Arial" w:cs="Arial"/>
          <w:bCs/>
          <w:shd w:val="clear" w:color="auto" w:fill="FFFFFF"/>
        </w:rPr>
        <w:t>znaczanych</w:t>
      </w:r>
      <w:r w:rsidR="00023B13">
        <w:rPr>
          <w:rFonts w:ascii="Arial" w:hAnsi="Arial" w:cs="Arial"/>
          <w:bCs/>
          <w:shd w:val="clear" w:color="auto" w:fill="FFFFFF"/>
        </w:rPr>
        <w:t xml:space="preserve"> metodą chromatografii cieczowej sprzężonej ze spektrometrią mas w ocenie </w:t>
      </w:r>
      <w:r w:rsidR="00B110D9">
        <w:rPr>
          <w:rFonts w:ascii="Arial" w:hAnsi="Arial" w:cs="Arial"/>
          <w:bCs/>
          <w:shd w:val="clear" w:color="auto" w:fill="FFFFFF"/>
        </w:rPr>
        <w:t xml:space="preserve">diagnostycznej i prognostycznej </w:t>
      </w:r>
      <w:r w:rsidR="00023B13">
        <w:rPr>
          <w:rFonts w:ascii="Arial" w:hAnsi="Arial" w:cs="Arial"/>
          <w:bCs/>
          <w:shd w:val="clear" w:color="auto" w:fill="FFFFFF"/>
        </w:rPr>
        <w:t xml:space="preserve">guzów nadnerczy (różnicowania raka i gruczolaka kory nadnerczy). Publikacja </w:t>
      </w:r>
      <w:r w:rsidR="00EF6426">
        <w:rPr>
          <w:rFonts w:ascii="Arial" w:hAnsi="Arial" w:cs="Arial"/>
          <w:bCs/>
          <w:shd w:val="clear" w:color="auto" w:fill="FFFFFF"/>
        </w:rPr>
        <w:t>dotycząca</w:t>
      </w:r>
      <w:r w:rsidR="00023B13">
        <w:rPr>
          <w:rFonts w:ascii="Arial" w:hAnsi="Arial" w:cs="Arial"/>
          <w:bCs/>
          <w:shd w:val="clear" w:color="auto" w:fill="FFFFFF"/>
        </w:rPr>
        <w:t xml:space="preserve"> wyników badania jest w przygotowaniu. </w:t>
      </w:r>
      <w:r w:rsidR="00EF6426">
        <w:rPr>
          <w:rFonts w:ascii="Arial" w:hAnsi="Arial" w:cs="Arial"/>
          <w:bCs/>
          <w:shd w:val="clear" w:color="auto" w:fill="FFFFFF"/>
        </w:rPr>
        <w:t>Dotychczasowym w</w:t>
      </w:r>
      <w:r w:rsidR="00023B13">
        <w:rPr>
          <w:rFonts w:ascii="Arial" w:hAnsi="Arial" w:cs="Arial"/>
          <w:bCs/>
          <w:shd w:val="clear" w:color="auto" w:fill="FFFFFF"/>
        </w:rPr>
        <w:t xml:space="preserve">ynikiem współpracy </w:t>
      </w:r>
      <w:r w:rsidR="00B36CAD">
        <w:rPr>
          <w:rFonts w:ascii="Arial" w:hAnsi="Arial" w:cs="Arial"/>
          <w:bCs/>
          <w:shd w:val="clear" w:color="auto" w:fill="FFFFFF"/>
        </w:rPr>
        <w:t>są</w:t>
      </w:r>
      <w:r w:rsidR="00EF6426">
        <w:rPr>
          <w:rFonts w:ascii="Arial" w:hAnsi="Arial" w:cs="Arial"/>
          <w:bCs/>
          <w:shd w:val="clear" w:color="auto" w:fill="FFFFFF"/>
        </w:rPr>
        <w:t xml:space="preserve"> </w:t>
      </w:r>
      <w:r w:rsidR="000F5D63">
        <w:rPr>
          <w:rFonts w:ascii="Arial" w:hAnsi="Arial" w:cs="Arial"/>
          <w:bCs/>
          <w:shd w:val="clear" w:color="auto" w:fill="FFFFFF"/>
        </w:rPr>
        <w:t xml:space="preserve">ustne </w:t>
      </w:r>
      <w:r w:rsidR="00EF6426">
        <w:rPr>
          <w:rFonts w:ascii="Arial" w:hAnsi="Arial" w:cs="Arial"/>
          <w:bCs/>
          <w:shd w:val="clear" w:color="auto" w:fill="FFFFFF"/>
        </w:rPr>
        <w:t>doniesienia na międzynarodowych</w:t>
      </w:r>
      <w:r w:rsidR="00D6717C" w:rsidRPr="00D6717C">
        <w:rPr>
          <w:rFonts w:ascii="Arial" w:hAnsi="Arial" w:cs="Arial"/>
          <w:bCs/>
          <w:shd w:val="clear" w:color="auto" w:fill="FFFFFF"/>
        </w:rPr>
        <w:t xml:space="preserve"> </w:t>
      </w:r>
      <w:r w:rsidR="00D6717C">
        <w:rPr>
          <w:rFonts w:ascii="Arial" w:hAnsi="Arial" w:cs="Arial"/>
          <w:bCs/>
          <w:shd w:val="clear" w:color="auto" w:fill="FFFFFF"/>
        </w:rPr>
        <w:t>konferencjach</w:t>
      </w:r>
      <w:r w:rsidR="00D520C0">
        <w:rPr>
          <w:rFonts w:ascii="Arial" w:hAnsi="Arial" w:cs="Arial"/>
          <w:bCs/>
          <w:shd w:val="clear" w:color="auto" w:fill="FFFFFF"/>
        </w:rPr>
        <w:t xml:space="preserve"> dotyczące </w:t>
      </w:r>
      <w:r w:rsidR="00900A5C">
        <w:rPr>
          <w:rFonts w:ascii="Arial" w:hAnsi="Arial" w:cs="Arial"/>
          <w:bCs/>
          <w:shd w:val="clear" w:color="auto" w:fill="FFFFFF"/>
        </w:rPr>
        <w:t xml:space="preserve">wykorzystania analizy </w:t>
      </w:r>
      <w:r w:rsidR="005D1E70">
        <w:rPr>
          <w:rFonts w:ascii="Arial" w:hAnsi="Arial" w:cs="Arial"/>
          <w:bCs/>
          <w:shd w:val="clear" w:color="auto" w:fill="FFFFFF"/>
        </w:rPr>
        <w:t>profilowej</w:t>
      </w:r>
      <w:r w:rsidR="003E1CC0">
        <w:rPr>
          <w:rFonts w:ascii="Arial" w:hAnsi="Arial" w:cs="Arial"/>
          <w:bCs/>
          <w:shd w:val="clear" w:color="auto" w:fill="FFFFFF"/>
        </w:rPr>
        <w:t xml:space="preserve"> </w:t>
      </w:r>
      <w:r w:rsidR="00900A5C">
        <w:rPr>
          <w:rFonts w:ascii="Arial" w:hAnsi="Arial" w:cs="Arial"/>
          <w:bCs/>
          <w:shd w:val="clear" w:color="auto" w:fill="FFFFFF"/>
        </w:rPr>
        <w:t>steroidów do różnicowania raka</w:t>
      </w:r>
      <w:r w:rsidR="003E1CC0">
        <w:rPr>
          <w:rFonts w:ascii="Arial" w:hAnsi="Arial" w:cs="Arial"/>
          <w:bCs/>
          <w:shd w:val="clear" w:color="auto" w:fill="FFFFFF"/>
        </w:rPr>
        <w:t xml:space="preserve"> kory nadnerczy </w:t>
      </w:r>
      <w:r w:rsidR="00900A5C" w:rsidRPr="003E1CC0">
        <w:rPr>
          <w:rFonts w:ascii="Arial" w:hAnsi="Arial" w:cs="Arial"/>
          <w:bCs/>
          <w:shd w:val="clear" w:color="auto" w:fill="FFFFFF"/>
        </w:rPr>
        <w:t>z inn</w:t>
      </w:r>
      <w:r w:rsidR="003E1CC0" w:rsidRPr="003E1CC0">
        <w:rPr>
          <w:rFonts w:ascii="Arial" w:hAnsi="Arial" w:cs="Arial"/>
          <w:bCs/>
          <w:shd w:val="clear" w:color="auto" w:fill="FFFFFF"/>
        </w:rPr>
        <w:t xml:space="preserve">ymi guzami kory nadnerczy, </w:t>
      </w:r>
      <w:r w:rsidR="005D1E70">
        <w:rPr>
          <w:rFonts w:ascii="Arial" w:hAnsi="Arial" w:cs="Arial"/>
          <w:bCs/>
          <w:shd w:val="clear" w:color="auto" w:fill="FFFFFF"/>
        </w:rPr>
        <w:t xml:space="preserve">diagnozowania </w:t>
      </w:r>
      <w:proofErr w:type="spellStart"/>
      <w:r w:rsidR="005D1E70">
        <w:rPr>
          <w:rFonts w:ascii="Arial" w:hAnsi="Arial" w:cs="Arial"/>
          <w:bCs/>
          <w:shd w:val="clear" w:color="auto" w:fill="FFFFFF"/>
        </w:rPr>
        <w:t>subklinicznej</w:t>
      </w:r>
      <w:proofErr w:type="spellEnd"/>
      <w:r w:rsidR="005D1E70">
        <w:rPr>
          <w:rFonts w:ascii="Arial" w:hAnsi="Arial" w:cs="Arial"/>
          <w:bCs/>
          <w:shd w:val="clear" w:color="auto" w:fill="FFFFFF"/>
        </w:rPr>
        <w:t xml:space="preserve"> i klinicznej </w:t>
      </w:r>
      <w:proofErr w:type="spellStart"/>
      <w:r w:rsidR="005D1E70">
        <w:rPr>
          <w:rFonts w:ascii="Arial" w:hAnsi="Arial" w:cs="Arial"/>
          <w:bCs/>
          <w:shd w:val="clear" w:color="auto" w:fill="FFFFFF"/>
        </w:rPr>
        <w:t>hiperkortyzolemii</w:t>
      </w:r>
      <w:proofErr w:type="spellEnd"/>
      <w:r w:rsidR="005D1E70">
        <w:rPr>
          <w:rFonts w:ascii="Arial" w:hAnsi="Arial" w:cs="Arial"/>
          <w:bCs/>
          <w:shd w:val="clear" w:color="auto" w:fill="FFFFFF"/>
        </w:rPr>
        <w:t xml:space="preserve"> oraz </w:t>
      </w:r>
      <w:r w:rsidR="003E1CC0" w:rsidRPr="003E1CC0">
        <w:rPr>
          <w:rFonts w:ascii="Arial" w:hAnsi="Arial" w:cs="Arial"/>
          <w:bCs/>
          <w:shd w:val="clear" w:color="auto" w:fill="FFFFFF"/>
        </w:rPr>
        <w:t>an</w:t>
      </w:r>
      <w:r w:rsidR="003E1CC0">
        <w:rPr>
          <w:rFonts w:ascii="Arial" w:hAnsi="Arial" w:cs="Arial"/>
          <w:bCs/>
          <w:shd w:val="clear" w:color="auto" w:fill="FFFFFF"/>
        </w:rPr>
        <w:t>alizy czynników klinicznych i radiologicznych w prognozowaniu ryzyka raka kory nadnerczy</w:t>
      </w:r>
      <w:r w:rsidR="005D1E70">
        <w:rPr>
          <w:rFonts w:ascii="Arial" w:hAnsi="Arial" w:cs="Arial"/>
          <w:bCs/>
          <w:shd w:val="clear" w:color="auto" w:fill="FFFFFF"/>
        </w:rPr>
        <w:t xml:space="preserve"> u chorych z guzem nadnercza</w:t>
      </w:r>
      <w:r w:rsidR="003E1CC0">
        <w:rPr>
          <w:rFonts w:ascii="Arial" w:hAnsi="Arial" w:cs="Arial"/>
          <w:bCs/>
          <w:shd w:val="clear" w:color="auto" w:fill="FFFFFF"/>
        </w:rPr>
        <w:t xml:space="preserve"> </w:t>
      </w:r>
      <w:r w:rsidR="00900A5C">
        <w:rPr>
          <w:rFonts w:ascii="Arial" w:hAnsi="Arial" w:cs="Arial"/>
          <w:bCs/>
          <w:shd w:val="clear" w:color="auto" w:fill="FFFFFF"/>
        </w:rPr>
        <w:t xml:space="preserve">  </w:t>
      </w:r>
      <w:r w:rsidR="00D520C0">
        <w:rPr>
          <w:rFonts w:ascii="Arial" w:hAnsi="Arial" w:cs="Arial"/>
          <w:bCs/>
          <w:shd w:val="clear" w:color="auto" w:fill="FFFFFF"/>
        </w:rPr>
        <w:t>(szczegółowo wymienione w wykazie dorobku naukowego)</w:t>
      </w:r>
      <w:r w:rsidR="00EF6426">
        <w:rPr>
          <w:rFonts w:ascii="Arial" w:hAnsi="Arial" w:cs="Arial"/>
          <w:bCs/>
          <w:shd w:val="clear" w:color="auto" w:fill="FFFFFF"/>
        </w:rPr>
        <w:t xml:space="preserve">. </w:t>
      </w:r>
    </w:p>
    <w:p w:rsidR="00023B13" w:rsidRDefault="00563558" w:rsidP="00B110D9">
      <w:pPr>
        <w:spacing w:line="360" w:lineRule="auto"/>
        <w:jc w:val="both"/>
        <w:rPr>
          <w:rFonts w:ascii="Arial" w:hAnsi="Arial" w:cs="Arial"/>
        </w:rPr>
      </w:pPr>
      <w:r>
        <w:rPr>
          <w:rFonts w:ascii="Arial" w:hAnsi="Arial" w:cs="Arial"/>
          <w:bCs/>
          <w:shd w:val="clear" w:color="auto" w:fill="FFFFFF"/>
        </w:rPr>
        <w:t xml:space="preserve">Drugim projektem wieloośrodkowym, </w:t>
      </w:r>
      <w:r w:rsidR="00322649">
        <w:rPr>
          <w:rFonts w:ascii="Arial" w:hAnsi="Arial" w:cs="Arial"/>
          <w:bCs/>
          <w:shd w:val="clear" w:color="auto" w:fill="FFFFFF"/>
        </w:rPr>
        <w:t>w którym uczestniczę od 2017 roku w ramach grupy ENSAT, jest o</w:t>
      </w:r>
      <w:r w:rsidR="00322649" w:rsidRPr="00563558">
        <w:rPr>
          <w:rFonts w:ascii="Arial" w:hAnsi="Arial" w:cs="Arial"/>
          <w:bCs/>
          <w:shd w:val="clear" w:color="auto" w:fill="FFFFFF"/>
        </w:rPr>
        <w:t xml:space="preserve">cena </w:t>
      </w:r>
      <w:proofErr w:type="spellStart"/>
      <w:r w:rsidR="00322649" w:rsidRPr="00563558">
        <w:rPr>
          <w:rFonts w:ascii="Arial" w:hAnsi="Arial" w:cs="Arial"/>
          <w:bCs/>
          <w:shd w:val="clear" w:color="auto" w:fill="FFFFFF"/>
        </w:rPr>
        <w:t>metabolomiki</w:t>
      </w:r>
      <w:proofErr w:type="spellEnd"/>
      <w:r w:rsidR="00322649" w:rsidRPr="00563558">
        <w:rPr>
          <w:rFonts w:ascii="Arial" w:hAnsi="Arial" w:cs="Arial"/>
          <w:bCs/>
          <w:shd w:val="clear" w:color="auto" w:fill="FFFFFF"/>
        </w:rPr>
        <w:t xml:space="preserve"> tkanek guzów </w:t>
      </w:r>
      <w:r w:rsidR="00322649">
        <w:rPr>
          <w:rFonts w:ascii="Arial" w:hAnsi="Arial" w:cs="Arial"/>
          <w:bCs/>
          <w:shd w:val="clear" w:color="auto" w:fill="FFFFFF"/>
        </w:rPr>
        <w:t xml:space="preserve">kory </w:t>
      </w:r>
      <w:r w:rsidR="00322649" w:rsidRPr="00563558">
        <w:rPr>
          <w:rFonts w:ascii="Arial" w:hAnsi="Arial" w:cs="Arial"/>
          <w:bCs/>
          <w:shd w:val="clear" w:color="auto" w:fill="FFFFFF"/>
        </w:rPr>
        <w:t>nadnerczy</w:t>
      </w:r>
      <w:r w:rsidR="00322649">
        <w:rPr>
          <w:rFonts w:ascii="Arial" w:hAnsi="Arial" w:cs="Arial"/>
          <w:bCs/>
          <w:shd w:val="clear" w:color="auto" w:fill="FFFFFF"/>
        </w:rPr>
        <w:t xml:space="preserve"> nie produkujących aldosteronu</w:t>
      </w:r>
      <w:r w:rsidR="00EF190B">
        <w:rPr>
          <w:rFonts w:ascii="Arial" w:hAnsi="Arial" w:cs="Arial"/>
          <w:bCs/>
          <w:shd w:val="clear" w:color="auto" w:fill="FFFFFF"/>
        </w:rPr>
        <w:t xml:space="preserve"> w celu różnicowania guzów z wykorzystaniem </w:t>
      </w:r>
      <w:r w:rsidR="008F4EDC">
        <w:rPr>
          <w:rFonts w:ascii="Arial" w:hAnsi="Arial" w:cs="Arial"/>
          <w:bCs/>
          <w:shd w:val="clear" w:color="auto" w:fill="FFFFFF"/>
        </w:rPr>
        <w:t>metody sp</w:t>
      </w:r>
      <w:r w:rsidR="003B06AA">
        <w:rPr>
          <w:rFonts w:ascii="Arial" w:hAnsi="Arial" w:cs="Arial"/>
          <w:bCs/>
          <w:shd w:val="clear" w:color="auto" w:fill="FFFFFF"/>
        </w:rPr>
        <w:t>e</w:t>
      </w:r>
      <w:r w:rsidR="008F4EDC">
        <w:rPr>
          <w:rFonts w:ascii="Arial" w:hAnsi="Arial" w:cs="Arial"/>
          <w:bCs/>
          <w:shd w:val="clear" w:color="auto" w:fill="FFFFFF"/>
        </w:rPr>
        <w:t>k</w:t>
      </w:r>
      <w:r w:rsidR="003B06AA">
        <w:rPr>
          <w:rFonts w:ascii="Arial" w:hAnsi="Arial" w:cs="Arial"/>
          <w:bCs/>
          <w:shd w:val="clear" w:color="auto" w:fill="FFFFFF"/>
        </w:rPr>
        <w:t>t</w:t>
      </w:r>
      <w:r w:rsidR="008F4EDC">
        <w:rPr>
          <w:rFonts w:ascii="Arial" w:hAnsi="Arial" w:cs="Arial"/>
          <w:bCs/>
          <w:shd w:val="clear" w:color="auto" w:fill="FFFFFF"/>
        </w:rPr>
        <w:t xml:space="preserve">rometrycznego obrazowania </w:t>
      </w:r>
      <w:proofErr w:type="spellStart"/>
      <w:r w:rsidR="008F4EDC">
        <w:rPr>
          <w:rFonts w:ascii="Arial" w:hAnsi="Arial" w:cs="Arial"/>
          <w:bCs/>
          <w:shd w:val="clear" w:color="auto" w:fill="FFFFFF"/>
        </w:rPr>
        <w:t>biomolekuł</w:t>
      </w:r>
      <w:proofErr w:type="spellEnd"/>
      <w:r w:rsidR="008F4EDC">
        <w:rPr>
          <w:rFonts w:ascii="Arial" w:hAnsi="Arial" w:cs="Arial"/>
          <w:bCs/>
          <w:shd w:val="clear" w:color="auto" w:fill="FFFFFF"/>
        </w:rPr>
        <w:t xml:space="preserve"> (</w:t>
      </w:r>
      <w:proofErr w:type="spellStart"/>
      <w:r w:rsidR="008F4EDC">
        <w:rPr>
          <w:rFonts w:ascii="Arial" w:hAnsi="Arial" w:cs="Arial"/>
          <w:bCs/>
          <w:shd w:val="clear" w:color="auto" w:fill="FFFFFF"/>
        </w:rPr>
        <w:t>MALDI-MSI</w:t>
      </w:r>
      <w:proofErr w:type="spellEnd"/>
      <w:r w:rsidR="008F4EDC">
        <w:rPr>
          <w:rFonts w:ascii="Arial" w:hAnsi="Arial" w:cs="Arial"/>
          <w:bCs/>
          <w:shd w:val="clear" w:color="auto" w:fill="FFFFFF"/>
        </w:rPr>
        <w:t>)</w:t>
      </w:r>
      <w:r w:rsidR="00322649">
        <w:rPr>
          <w:rFonts w:ascii="Arial" w:hAnsi="Arial" w:cs="Arial"/>
          <w:bCs/>
          <w:shd w:val="clear" w:color="auto" w:fill="FFFFFF"/>
        </w:rPr>
        <w:t xml:space="preserve">. </w:t>
      </w:r>
      <w:proofErr w:type="spellStart"/>
      <w:r w:rsidR="00322649" w:rsidRPr="008A5316">
        <w:rPr>
          <w:rFonts w:ascii="Arial" w:hAnsi="Arial" w:cs="Arial"/>
          <w:bCs/>
          <w:shd w:val="clear" w:color="auto" w:fill="FFFFFF"/>
          <w:lang w:val="en-US"/>
        </w:rPr>
        <w:t>Projekt</w:t>
      </w:r>
      <w:proofErr w:type="spellEnd"/>
      <w:r w:rsidR="00322649" w:rsidRPr="008A5316">
        <w:rPr>
          <w:rFonts w:ascii="Arial" w:hAnsi="Arial" w:cs="Arial"/>
          <w:bCs/>
          <w:shd w:val="clear" w:color="auto" w:fill="FFFFFF"/>
          <w:lang w:val="en-US"/>
        </w:rPr>
        <w:t xml:space="preserve"> ten </w:t>
      </w:r>
      <w:r w:rsidRPr="008A5316">
        <w:rPr>
          <w:rFonts w:ascii="Arial" w:hAnsi="Arial" w:cs="Arial"/>
          <w:bCs/>
          <w:shd w:val="clear" w:color="auto" w:fill="FFFFFF"/>
          <w:lang w:val="en-US"/>
        </w:rPr>
        <w:t xml:space="preserve"> </w:t>
      </w:r>
      <w:proofErr w:type="spellStart"/>
      <w:r w:rsidR="00322649" w:rsidRPr="008A5316">
        <w:rPr>
          <w:rFonts w:ascii="Arial" w:hAnsi="Arial" w:cs="Arial"/>
          <w:bCs/>
          <w:shd w:val="clear" w:color="auto" w:fill="FFFFFF"/>
          <w:lang w:val="en-US"/>
        </w:rPr>
        <w:t>kierowany</w:t>
      </w:r>
      <w:proofErr w:type="spellEnd"/>
      <w:r w:rsidR="00322649" w:rsidRPr="008A5316">
        <w:rPr>
          <w:rFonts w:ascii="Arial" w:hAnsi="Arial" w:cs="Arial"/>
          <w:bCs/>
          <w:shd w:val="clear" w:color="auto" w:fill="FFFFFF"/>
          <w:lang w:val="en-US"/>
        </w:rPr>
        <w:t xml:space="preserve"> jest</w:t>
      </w:r>
      <w:r w:rsidRPr="008A5316">
        <w:rPr>
          <w:rFonts w:ascii="Arial" w:hAnsi="Arial" w:cs="Arial"/>
          <w:bCs/>
          <w:shd w:val="clear" w:color="auto" w:fill="FFFFFF"/>
          <w:lang w:val="en-US"/>
        </w:rPr>
        <w:t xml:space="preserve"> </w:t>
      </w:r>
      <w:proofErr w:type="spellStart"/>
      <w:r w:rsidRPr="008A5316">
        <w:rPr>
          <w:rFonts w:ascii="Arial" w:hAnsi="Arial" w:cs="Arial"/>
          <w:bCs/>
          <w:shd w:val="clear" w:color="auto" w:fill="FFFFFF"/>
          <w:lang w:val="en-US"/>
        </w:rPr>
        <w:t>przez</w:t>
      </w:r>
      <w:proofErr w:type="spellEnd"/>
      <w:r w:rsidRPr="008A5316">
        <w:rPr>
          <w:rFonts w:ascii="Arial" w:hAnsi="Arial" w:cs="Arial"/>
          <w:bCs/>
          <w:shd w:val="clear" w:color="auto" w:fill="FFFFFF"/>
          <w:lang w:val="en-US"/>
        </w:rPr>
        <w:t xml:space="preserve"> </w:t>
      </w:r>
      <w:proofErr w:type="spellStart"/>
      <w:r w:rsidRPr="008A5316">
        <w:rPr>
          <w:rFonts w:ascii="Arial" w:hAnsi="Arial" w:cs="Arial"/>
          <w:bCs/>
          <w:shd w:val="clear" w:color="auto" w:fill="FFFFFF"/>
          <w:lang w:val="en-US"/>
        </w:rPr>
        <w:t>prof</w:t>
      </w:r>
      <w:proofErr w:type="spellEnd"/>
      <w:r w:rsidRPr="008A5316">
        <w:rPr>
          <w:rFonts w:ascii="Arial" w:hAnsi="Arial" w:cs="Arial"/>
          <w:bCs/>
          <w:shd w:val="clear" w:color="auto" w:fill="FFFFFF"/>
          <w:lang w:val="en-US"/>
        </w:rPr>
        <w:t xml:space="preserve">. </w:t>
      </w:r>
      <w:proofErr w:type="spellStart"/>
      <w:r w:rsidRPr="008A5316">
        <w:rPr>
          <w:rFonts w:ascii="Arial" w:hAnsi="Arial" w:cs="Arial"/>
          <w:bCs/>
          <w:shd w:val="clear" w:color="auto" w:fill="FFFFFF"/>
          <w:lang w:val="en-US"/>
        </w:rPr>
        <w:t>Felixa</w:t>
      </w:r>
      <w:proofErr w:type="spellEnd"/>
      <w:r w:rsidRPr="008A5316">
        <w:rPr>
          <w:rFonts w:ascii="Arial" w:hAnsi="Arial" w:cs="Arial"/>
          <w:bCs/>
          <w:shd w:val="clear" w:color="auto" w:fill="FFFFFF"/>
          <w:lang w:val="en-US"/>
        </w:rPr>
        <w:t xml:space="preserve"> </w:t>
      </w:r>
      <w:proofErr w:type="spellStart"/>
      <w:r w:rsidRPr="008A5316">
        <w:rPr>
          <w:rFonts w:ascii="Arial" w:hAnsi="Arial" w:cs="Arial"/>
          <w:bCs/>
          <w:shd w:val="clear" w:color="auto" w:fill="FFFFFF"/>
          <w:lang w:val="en-US"/>
        </w:rPr>
        <w:t>Beuschleina</w:t>
      </w:r>
      <w:proofErr w:type="spellEnd"/>
      <w:r w:rsidRPr="008A5316">
        <w:rPr>
          <w:rFonts w:ascii="Arial" w:hAnsi="Arial" w:cs="Arial"/>
          <w:bCs/>
          <w:shd w:val="clear" w:color="auto" w:fill="FFFFFF"/>
          <w:lang w:val="en-US"/>
        </w:rPr>
        <w:t xml:space="preserve"> z </w:t>
      </w:r>
      <w:r w:rsidR="008A5316" w:rsidRPr="00B73FCC">
        <w:rPr>
          <w:rFonts w:ascii="Arial" w:hAnsi="Arial" w:cs="Arial"/>
          <w:color w:val="000000"/>
          <w:shd w:val="clear" w:color="auto" w:fill="FFFFFF"/>
          <w:lang w:val="en-US"/>
        </w:rPr>
        <w:t xml:space="preserve">Dept. of Internal Medicine IV, </w:t>
      </w:r>
      <w:proofErr w:type="spellStart"/>
      <w:r w:rsidR="008A5316" w:rsidRPr="00B73FCC">
        <w:rPr>
          <w:rFonts w:ascii="Arial" w:hAnsi="Arial" w:cs="Arial"/>
          <w:color w:val="000000"/>
          <w:shd w:val="clear" w:color="auto" w:fill="FFFFFF"/>
          <w:lang w:val="en-US"/>
        </w:rPr>
        <w:t>Klinikum</w:t>
      </w:r>
      <w:proofErr w:type="spellEnd"/>
      <w:r w:rsidR="008A5316" w:rsidRPr="00B73FCC">
        <w:rPr>
          <w:rFonts w:ascii="Arial" w:hAnsi="Arial" w:cs="Arial"/>
          <w:color w:val="000000"/>
          <w:shd w:val="clear" w:color="auto" w:fill="FFFFFF"/>
          <w:lang w:val="en-US"/>
        </w:rPr>
        <w:t xml:space="preserve"> </w:t>
      </w:r>
      <w:proofErr w:type="spellStart"/>
      <w:r w:rsidR="008A5316" w:rsidRPr="00B73FCC">
        <w:rPr>
          <w:rFonts w:ascii="Arial" w:hAnsi="Arial" w:cs="Arial"/>
          <w:color w:val="000000"/>
          <w:shd w:val="clear" w:color="auto" w:fill="FFFFFF"/>
          <w:lang w:val="en-US"/>
        </w:rPr>
        <w:t>der</w:t>
      </w:r>
      <w:proofErr w:type="spellEnd"/>
      <w:r w:rsidR="008A5316" w:rsidRPr="00B73FCC">
        <w:rPr>
          <w:rFonts w:ascii="Arial" w:hAnsi="Arial" w:cs="Arial"/>
          <w:color w:val="000000"/>
          <w:shd w:val="clear" w:color="auto" w:fill="FFFFFF"/>
          <w:lang w:val="en-US"/>
        </w:rPr>
        <w:t xml:space="preserve"> </w:t>
      </w:r>
      <w:proofErr w:type="spellStart"/>
      <w:r w:rsidR="008A5316" w:rsidRPr="00B73FCC">
        <w:rPr>
          <w:rFonts w:ascii="Arial" w:hAnsi="Arial" w:cs="Arial"/>
          <w:color w:val="000000"/>
          <w:shd w:val="clear" w:color="auto" w:fill="FFFFFF"/>
          <w:lang w:val="en-US"/>
        </w:rPr>
        <w:t>München</w:t>
      </w:r>
      <w:proofErr w:type="spellEnd"/>
      <w:r w:rsidR="008A5316">
        <w:rPr>
          <w:rFonts w:ascii="Arial" w:hAnsi="Arial" w:cs="Arial"/>
          <w:color w:val="000000"/>
          <w:shd w:val="clear" w:color="auto" w:fill="FFFFFF"/>
          <w:lang w:val="en-US"/>
        </w:rPr>
        <w:t>, Ludwig-</w:t>
      </w:r>
      <w:proofErr w:type="spellStart"/>
      <w:r w:rsidR="008A5316">
        <w:rPr>
          <w:rFonts w:ascii="Arial" w:hAnsi="Arial" w:cs="Arial"/>
          <w:color w:val="000000"/>
          <w:shd w:val="clear" w:color="auto" w:fill="FFFFFF"/>
          <w:lang w:val="en-US"/>
        </w:rPr>
        <w:t>Maximilians</w:t>
      </w:r>
      <w:proofErr w:type="spellEnd"/>
      <w:r w:rsidR="008A5316">
        <w:rPr>
          <w:rFonts w:ascii="Arial" w:hAnsi="Arial" w:cs="Arial"/>
          <w:color w:val="000000"/>
          <w:shd w:val="clear" w:color="auto" w:fill="FFFFFF"/>
          <w:lang w:val="en-US"/>
        </w:rPr>
        <w:t xml:space="preserve"> University of Munich</w:t>
      </w:r>
      <w:r w:rsidR="008A5316" w:rsidRPr="008A5316">
        <w:rPr>
          <w:rFonts w:ascii="Arial" w:hAnsi="Arial" w:cs="Arial"/>
          <w:lang w:val="en-US"/>
        </w:rPr>
        <w:t xml:space="preserve"> </w:t>
      </w:r>
      <w:proofErr w:type="spellStart"/>
      <w:r w:rsidRPr="008A5316">
        <w:rPr>
          <w:rFonts w:ascii="Arial" w:hAnsi="Arial" w:cs="Arial"/>
          <w:bCs/>
          <w:shd w:val="clear" w:color="auto" w:fill="FFFFFF"/>
          <w:lang w:val="en-US"/>
        </w:rPr>
        <w:t>i</w:t>
      </w:r>
      <w:proofErr w:type="spellEnd"/>
      <w:r w:rsidRPr="008A5316">
        <w:rPr>
          <w:rFonts w:ascii="Arial" w:hAnsi="Arial" w:cs="Arial"/>
          <w:bCs/>
          <w:shd w:val="clear" w:color="auto" w:fill="FFFFFF"/>
          <w:lang w:val="en-US"/>
        </w:rPr>
        <w:t xml:space="preserve"> </w:t>
      </w:r>
      <w:proofErr w:type="spellStart"/>
      <w:r w:rsidRPr="008A5316">
        <w:rPr>
          <w:rFonts w:ascii="Arial" w:hAnsi="Arial" w:cs="Arial"/>
          <w:bCs/>
          <w:shd w:val="clear" w:color="auto" w:fill="FFFFFF"/>
          <w:lang w:val="en-US"/>
        </w:rPr>
        <w:t>prof</w:t>
      </w:r>
      <w:proofErr w:type="spellEnd"/>
      <w:r w:rsidRPr="008A5316">
        <w:rPr>
          <w:rFonts w:ascii="Arial" w:hAnsi="Arial" w:cs="Arial"/>
          <w:bCs/>
          <w:shd w:val="clear" w:color="auto" w:fill="FFFFFF"/>
          <w:lang w:val="en-US"/>
        </w:rPr>
        <w:t xml:space="preserve">. Martina </w:t>
      </w:r>
      <w:proofErr w:type="spellStart"/>
      <w:r w:rsidRPr="008A5316">
        <w:rPr>
          <w:rFonts w:ascii="Arial" w:hAnsi="Arial" w:cs="Arial"/>
          <w:bCs/>
          <w:shd w:val="clear" w:color="auto" w:fill="FFFFFF"/>
          <w:lang w:val="en-US"/>
        </w:rPr>
        <w:t>Fassnachta</w:t>
      </w:r>
      <w:proofErr w:type="spellEnd"/>
      <w:r w:rsidRPr="008A5316">
        <w:rPr>
          <w:rFonts w:ascii="Arial" w:hAnsi="Arial" w:cs="Arial"/>
          <w:bCs/>
          <w:shd w:val="clear" w:color="auto" w:fill="FFFFFF"/>
          <w:lang w:val="en-US"/>
        </w:rPr>
        <w:t xml:space="preserve"> z </w:t>
      </w:r>
      <w:r w:rsidRPr="008A5316">
        <w:rPr>
          <w:rFonts w:ascii="Arial" w:hAnsi="Arial" w:cs="Arial"/>
          <w:lang w:val="en-US"/>
        </w:rPr>
        <w:t xml:space="preserve">Endocrine and Diabetes Unit Dept. of Internal Medicine I University Hospital </w:t>
      </w:r>
      <w:proofErr w:type="spellStart"/>
      <w:r w:rsidRPr="008A5316">
        <w:rPr>
          <w:rFonts w:ascii="Arial" w:hAnsi="Arial" w:cs="Arial"/>
          <w:lang w:val="en-US"/>
        </w:rPr>
        <w:t>Würzburg</w:t>
      </w:r>
      <w:proofErr w:type="spellEnd"/>
      <w:r w:rsidR="00322649" w:rsidRPr="008A5316">
        <w:rPr>
          <w:rFonts w:ascii="Arial" w:hAnsi="Arial" w:cs="Arial"/>
          <w:lang w:val="en-US"/>
        </w:rPr>
        <w:t xml:space="preserve">. </w:t>
      </w:r>
      <w:r w:rsidR="00322649">
        <w:rPr>
          <w:rFonts w:ascii="Arial" w:hAnsi="Arial" w:cs="Arial"/>
        </w:rPr>
        <w:t>Obecnie zakończona jest faza gromadzenia materiału tkankowego i zb</w:t>
      </w:r>
      <w:r w:rsidR="003F204A">
        <w:rPr>
          <w:rFonts w:ascii="Arial" w:hAnsi="Arial" w:cs="Arial"/>
        </w:rPr>
        <w:t>ie</w:t>
      </w:r>
      <w:r w:rsidR="00322649">
        <w:rPr>
          <w:rFonts w:ascii="Arial" w:hAnsi="Arial" w:cs="Arial"/>
        </w:rPr>
        <w:t xml:space="preserve">rania danych klinicznych. </w:t>
      </w:r>
      <w:r>
        <w:rPr>
          <w:rFonts w:ascii="Arial" w:hAnsi="Arial" w:cs="Arial"/>
        </w:rPr>
        <w:t xml:space="preserve"> </w:t>
      </w:r>
    </w:p>
    <w:p w:rsidR="00A13A1A" w:rsidRPr="00E66B09" w:rsidRDefault="00A13A1A" w:rsidP="00B110D9">
      <w:pPr>
        <w:spacing w:line="360" w:lineRule="auto"/>
        <w:jc w:val="both"/>
        <w:rPr>
          <w:rFonts w:ascii="Arial" w:hAnsi="Arial" w:cs="Arial"/>
          <w:bCs/>
          <w:shd w:val="clear" w:color="auto" w:fill="FFFFFF"/>
        </w:rPr>
      </w:pPr>
      <w:r w:rsidRPr="00E66B09">
        <w:rPr>
          <w:rFonts w:ascii="Arial" w:hAnsi="Arial" w:cs="Arial"/>
        </w:rPr>
        <w:t>Trzecim projektem</w:t>
      </w:r>
      <w:r w:rsidR="00E66B09">
        <w:rPr>
          <w:rFonts w:ascii="Arial" w:hAnsi="Arial" w:cs="Arial"/>
        </w:rPr>
        <w:t>,</w:t>
      </w:r>
      <w:r w:rsidRPr="00E66B09">
        <w:rPr>
          <w:rFonts w:ascii="Arial" w:hAnsi="Arial" w:cs="Arial"/>
        </w:rPr>
        <w:t xml:space="preserve"> w </w:t>
      </w:r>
      <w:r w:rsidR="00E66B09">
        <w:rPr>
          <w:rFonts w:ascii="Arial" w:hAnsi="Arial" w:cs="Arial"/>
        </w:rPr>
        <w:t xml:space="preserve">którym brałam udział w </w:t>
      </w:r>
      <w:r w:rsidRPr="00E66B09">
        <w:rPr>
          <w:rFonts w:ascii="Arial" w:hAnsi="Arial" w:cs="Arial"/>
        </w:rPr>
        <w:t xml:space="preserve">ramach grupy ENSAT </w:t>
      </w:r>
      <w:r w:rsidR="00E66B09">
        <w:rPr>
          <w:rFonts w:ascii="Arial" w:hAnsi="Arial" w:cs="Arial"/>
        </w:rPr>
        <w:t xml:space="preserve">w 2017 roku </w:t>
      </w:r>
      <w:r w:rsidRPr="00E66B09">
        <w:rPr>
          <w:rFonts w:ascii="Arial" w:hAnsi="Arial" w:cs="Arial"/>
        </w:rPr>
        <w:t>był</w:t>
      </w:r>
      <w:r w:rsidR="00E66B09" w:rsidRPr="00E66B09">
        <w:rPr>
          <w:rFonts w:ascii="Arial" w:hAnsi="Arial" w:cs="Arial"/>
        </w:rPr>
        <w:t>o</w:t>
      </w:r>
      <w:r w:rsidRPr="00E66B09">
        <w:rPr>
          <w:rFonts w:ascii="Arial" w:hAnsi="Arial" w:cs="Arial"/>
        </w:rPr>
        <w:t xml:space="preserve"> </w:t>
      </w:r>
      <w:r w:rsidR="00E66B09" w:rsidRPr="00E66B09">
        <w:rPr>
          <w:rFonts w:ascii="Arial" w:hAnsi="Arial" w:cs="Arial"/>
        </w:rPr>
        <w:t>badanie “</w:t>
      </w:r>
      <w:proofErr w:type="spellStart"/>
      <w:r w:rsidR="00E66B09" w:rsidRPr="00E66B09">
        <w:rPr>
          <w:rFonts w:ascii="Arial" w:hAnsi="Arial" w:cs="Arial"/>
        </w:rPr>
        <w:t>C</w:t>
      </w:r>
      <w:r w:rsidR="00E66B09" w:rsidRPr="00E66B09">
        <w:rPr>
          <w:rFonts w:ascii="Arial" w:eastAsia="Candara-Bold" w:hAnsi="Arial" w:cs="Arial"/>
          <w:bCs/>
        </w:rPr>
        <w:t>omputed</w:t>
      </w:r>
      <w:proofErr w:type="spellEnd"/>
      <w:r w:rsidR="00E66B09" w:rsidRPr="00E66B09">
        <w:rPr>
          <w:rFonts w:ascii="Arial" w:eastAsia="Candara-Bold" w:hAnsi="Arial" w:cs="Arial"/>
          <w:bCs/>
        </w:rPr>
        <w:t xml:space="preserve"> </w:t>
      </w:r>
      <w:proofErr w:type="spellStart"/>
      <w:r w:rsidR="00E66B09" w:rsidRPr="00E66B09">
        <w:rPr>
          <w:rFonts w:ascii="Arial" w:eastAsia="Candara-Bold" w:hAnsi="Arial" w:cs="Arial"/>
          <w:bCs/>
        </w:rPr>
        <w:t>Tomography</w:t>
      </w:r>
      <w:proofErr w:type="spellEnd"/>
      <w:r w:rsidR="00E66B09" w:rsidRPr="00E66B09">
        <w:rPr>
          <w:rFonts w:ascii="Arial" w:eastAsia="Candara-Bold" w:hAnsi="Arial" w:cs="Arial"/>
          <w:bCs/>
        </w:rPr>
        <w:t xml:space="preserve"> </w:t>
      </w:r>
      <w:proofErr w:type="spellStart"/>
      <w:r w:rsidR="00E66B09" w:rsidRPr="00E66B09">
        <w:rPr>
          <w:rFonts w:ascii="Arial" w:eastAsia="Candara-Bold" w:hAnsi="Arial" w:cs="Arial"/>
          <w:bCs/>
        </w:rPr>
        <w:t>Characteristics</w:t>
      </w:r>
      <w:proofErr w:type="spellEnd"/>
      <w:r w:rsidR="00E66B09" w:rsidRPr="00E66B09">
        <w:rPr>
          <w:rFonts w:ascii="Arial" w:eastAsia="Candara-Bold" w:hAnsi="Arial" w:cs="Arial"/>
          <w:bCs/>
        </w:rPr>
        <w:t xml:space="preserve"> of </w:t>
      </w:r>
      <w:proofErr w:type="spellStart"/>
      <w:r w:rsidR="00E66B09" w:rsidRPr="00E66B09">
        <w:rPr>
          <w:rFonts w:ascii="Arial" w:eastAsia="Candara-Bold" w:hAnsi="Arial" w:cs="Arial"/>
          <w:bCs/>
        </w:rPr>
        <w:t>Pheochromocytoma</w:t>
      </w:r>
      <w:proofErr w:type="spellEnd"/>
      <w:r w:rsidR="00E66B09" w:rsidRPr="00E66B09">
        <w:rPr>
          <w:rFonts w:ascii="Arial" w:eastAsia="Candara-Bold" w:hAnsi="Arial" w:cs="Arial"/>
          <w:bCs/>
        </w:rPr>
        <w:t xml:space="preserve"> - An </w:t>
      </w:r>
      <w:proofErr w:type="spellStart"/>
      <w:r w:rsidR="00E66B09" w:rsidRPr="00E66B09">
        <w:rPr>
          <w:rFonts w:ascii="Arial" w:eastAsia="Candara-Bold" w:hAnsi="Arial" w:cs="Arial"/>
          <w:bCs/>
        </w:rPr>
        <w:t>ENS@T</w:t>
      </w:r>
      <w:proofErr w:type="spellEnd"/>
      <w:r w:rsidR="00E66B09" w:rsidRPr="00E66B09">
        <w:rPr>
          <w:rFonts w:ascii="Arial" w:eastAsia="Candara-Italic" w:hAnsi="Arial" w:cs="Arial"/>
          <w:iCs/>
        </w:rPr>
        <w:t xml:space="preserve"> </w:t>
      </w:r>
      <w:proofErr w:type="spellStart"/>
      <w:r w:rsidR="00E66B09" w:rsidRPr="00E66B09">
        <w:rPr>
          <w:rFonts w:ascii="Arial" w:eastAsia="Candara-Bold" w:hAnsi="Arial" w:cs="Arial"/>
          <w:bCs/>
        </w:rPr>
        <w:t>collaborative</w:t>
      </w:r>
      <w:proofErr w:type="spellEnd"/>
      <w:r w:rsidR="00E66B09" w:rsidRPr="00E66B09">
        <w:rPr>
          <w:rFonts w:ascii="Arial" w:eastAsia="Candara-Bold" w:hAnsi="Arial" w:cs="Arial"/>
          <w:bCs/>
        </w:rPr>
        <w:t xml:space="preserve"> </w:t>
      </w:r>
      <w:proofErr w:type="spellStart"/>
      <w:r w:rsidR="00E66B09" w:rsidRPr="00E66B09">
        <w:rPr>
          <w:rFonts w:ascii="Arial" w:eastAsia="Candara-Bold" w:hAnsi="Arial" w:cs="Arial"/>
          <w:bCs/>
        </w:rPr>
        <w:t>Study</w:t>
      </w:r>
      <w:proofErr w:type="spellEnd"/>
      <w:r w:rsidR="00E66B09" w:rsidRPr="00E66B09">
        <w:rPr>
          <w:rFonts w:ascii="Arial" w:eastAsia="Candara-Bold" w:hAnsi="Arial" w:cs="Arial"/>
          <w:bCs/>
        </w:rPr>
        <w:t>”</w:t>
      </w:r>
      <w:r w:rsidR="00E66B09">
        <w:rPr>
          <w:rFonts w:ascii="Arial" w:eastAsia="Candara-Bold" w:hAnsi="Arial" w:cs="Arial"/>
          <w:bCs/>
        </w:rPr>
        <w:t xml:space="preserve"> pod kierownictwem prof</w:t>
      </w:r>
      <w:r w:rsidR="00A74094">
        <w:rPr>
          <w:rFonts w:ascii="Arial" w:eastAsia="Candara-Bold" w:hAnsi="Arial" w:cs="Arial"/>
          <w:bCs/>
        </w:rPr>
        <w:t xml:space="preserve">. Henriego </w:t>
      </w:r>
      <w:proofErr w:type="spellStart"/>
      <w:r w:rsidR="00E66B09">
        <w:rPr>
          <w:rFonts w:ascii="Arial" w:eastAsia="Candara-Bold" w:hAnsi="Arial" w:cs="Arial"/>
          <w:bCs/>
        </w:rPr>
        <w:t>Timmersa</w:t>
      </w:r>
      <w:proofErr w:type="spellEnd"/>
      <w:r w:rsidR="00E66B09">
        <w:rPr>
          <w:rFonts w:ascii="Arial" w:eastAsia="Candara-Bold" w:hAnsi="Arial" w:cs="Arial"/>
          <w:bCs/>
        </w:rPr>
        <w:t xml:space="preserve"> z Dept. </w:t>
      </w:r>
      <w:r w:rsidR="00A74094" w:rsidRPr="00A74094">
        <w:rPr>
          <w:rFonts w:ascii="Arial" w:eastAsia="Candara-Bold" w:hAnsi="Arial" w:cs="Arial"/>
          <w:bCs/>
        </w:rPr>
        <w:t>o</w:t>
      </w:r>
      <w:r w:rsidR="00E66B09" w:rsidRPr="00A74094">
        <w:rPr>
          <w:rFonts w:ascii="Arial" w:eastAsia="Candara-Bold" w:hAnsi="Arial" w:cs="Arial"/>
          <w:bCs/>
        </w:rPr>
        <w:t xml:space="preserve">f </w:t>
      </w:r>
      <w:proofErr w:type="spellStart"/>
      <w:r w:rsidR="00E66B09" w:rsidRPr="00A74094">
        <w:rPr>
          <w:rFonts w:ascii="Arial" w:eastAsia="Candara-Bold" w:hAnsi="Arial" w:cs="Arial"/>
          <w:bCs/>
        </w:rPr>
        <w:t>Endocrinolo</w:t>
      </w:r>
      <w:r w:rsidR="00A74094">
        <w:rPr>
          <w:rFonts w:ascii="Arial" w:eastAsia="Candara-Bold" w:hAnsi="Arial" w:cs="Arial"/>
          <w:bCs/>
        </w:rPr>
        <w:t>gy</w:t>
      </w:r>
      <w:proofErr w:type="spellEnd"/>
      <w:r w:rsidR="00A74094">
        <w:rPr>
          <w:rFonts w:ascii="Arial" w:eastAsia="Candara-Bold" w:hAnsi="Arial" w:cs="Arial"/>
          <w:bCs/>
        </w:rPr>
        <w:t xml:space="preserve">, </w:t>
      </w:r>
      <w:proofErr w:type="spellStart"/>
      <w:r w:rsidR="00A74094">
        <w:rPr>
          <w:rFonts w:ascii="Arial" w:eastAsia="Candara-Bold" w:hAnsi="Arial" w:cs="Arial"/>
          <w:bCs/>
        </w:rPr>
        <w:t>Radboud</w:t>
      </w:r>
      <w:proofErr w:type="spellEnd"/>
      <w:r w:rsidR="00A74094">
        <w:rPr>
          <w:rFonts w:ascii="Arial" w:eastAsia="Candara-Bold" w:hAnsi="Arial" w:cs="Arial"/>
          <w:bCs/>
        </w:rPr>
        <w:t xml:space="preserve"> </w:t>
      </w:r>
      <w:proofErr w:type="spellStart"/>
      <w:r w:rsidR="00A74094">
        <w:rPr>
          <w:rFonts w:ascii="Arial" w:eastAsia="Candara-Bold" w:hAnsi="Arial" w:cs="Arial"/>
          <w:bCs/>
        </w:rPr>
        <w:t>Skull</w:t>
      </w:r>
      <w:proofErr w:type="spellEnd"/>
      <w:r w:rsidR="00A74094">
        <w:rPr>
          <w:rFonts w:ascii="Arial" w:eastAsia="Candara-Bold" w:hAnsi="Arial" w:cs="Arial"/>
          <w:bCs/>
        </w:rPr>
        <w:t xml:space="preserve"> </w:t>
      </w:r>
      <w:proofErr w:type="spellStart"/>
      <w:r w:rsidR="00A74094">
        <w:rPr>
          <w:rFonts w:ascii="Arial" w:eastAsia="Candara-Bold" w:hAnsi="Arial" w:cs="Arial"/>
          <w:bCs/>
        </w:rPr>
        <w:t>Base</w:t>
      </w:r>
      <w:proofErr w:type="spellEnd"/>
      <w:r w:rsidR="00A74094">
        <w:rPr>
          <w:rFonts w:ascii="Arial" w:eastAsia="Candara-Bold" w:hAnsi="Arial" w:cs="Arial"/>
          <w:bCs/>
        </w:rPr>
        <w:t xml:space="preserve"> Center, </w:t>
      </w:r>
      <w:proofErr w:type="spellStart"/>
      <w:r w:rsidR="00A74094">
        <w:rPr>
          <w:rFonts w:ascii="Arial" w:eastAsia="Candara-Bold" w:hAnsi="Arial" w:cs="Arial"/>
          <w:bCs/>
        </w:rPr>
        <w:t>R</w:t>
      </w:r>
      <w:r w:rsidR="00E66B09" w:rsidRPr="00A74094">
        <w:rPr>
          <w:rFonts w:ascii="Arial" w:eastAsia="Candara-Bold" w:hAnsi="Arial" w:cs="Arial"/>
          <w:bCs/>
        </w:rPr>
        <w:t>adboud</w:t>
      </w:r>
      <w:proofErr w:type="spellEnd"/>
      <w:r w:rsidR="00E66B09" w:rsidRPr="00A74094">
        <w:rPr>
          <w:rFonts w:ascii="Arial" w:eastAsia="Candara-Bold" w:hAnsi="Arial" w:cs="Arial"/>
          <w:bCs/>
        </w:rPr>
        <w:t xml:space="preserve"> </w:t>
      </w:r>
      <w:proofErr w:type="spellStart"/>
      <w:r w:rsidR="00E66B09" w:rsidRPr="00A74094">
        <w:rPr>
          <w:rFonts w:ascii="Arial" w:eastAsia="Candara-Bold" w:hAnsi="Arial" w:cs="Arial"/>
          <w:bCs/>
        </w:rPr>
        <w:t>University</w:t>
      </w:r>
      <w:proofErr w:type="spellEnd"/>
      <w:r w:rsidR="00E66B09" w:rsidRPr="00A74094">
        <w:rPr>
          <w:rFonts w:ascii="Arial" w:eastAsia="Candara-Bold" w:hAnsi="Arial" w:cs="Arial"/>
          <w:bCs/>
        </w:rPr>
        <w:t xml:space="preserve"> </w:t>
      </w:r>
      <w:proofErr w:type="spellStart"/>
      <w:r w:rsidR="00E66B09" w:rsidRPr="00A74094">
        <w:rPr>
          <w:rFonts w:ascii="Arial" w:eastAsia="Candara-Bold" w:hAnsi="Arial" w:cs="Arial"/>
          <w:bCs/>
        </w:rPr>
        <w:t>Medi</w:t>
      </w:r>
      <w:r w:rsidR="00A74094">
        <w:rPr>
          <w:rFonts w:ascii="Arial" w:eastAsia="Candara-Bold" w:hAnsi="Arial" w:cs="Arial"/>
          <w:bCs/>
        </w:rPr>
        <w:t>cal</w:t>
      </w:r>
      <w:proofErr w:type="spellEnd"/>
      <w:r w:rsidR="00A74094">
        <w:rPr>
          <w:rFonts w:ascii="Arial" w:eastAsia="Candara-Bold" w:hAnsi="Arial" w:cs="Arial"/>
          <w:bCs/>
        </w:rPr>
        <w:t xml:space="preserve"> Center, Nijmegen,</w:t>
      </w:r>
      <w:r w:rsidR="00E66B09" w:rsidRPr="00A74094">
        <w:rPr>
          <w:rFonts w:ascii="Arial" w:eastAsia="Candara-Bold" w:hAnsi="Arial" w:cs="Arial"/>
          <w:bCs/>
        </w:rPr>
        <w:t xml:space="preserve"> </w:t>
      </w:r>
      <w:r w:rsidR="00E66B09" w:rsidRPr="00E66B09">
        <w:rPr>
          <w:rFonts w:ascii="Arial" w:eastAsia="Candara-Bold" w:hAnsi="Arial" w:cs="Arial"/>
          <w:bCs/>
        </w:rPr>
        <w:t xml:space="preserve">gdzie </w:t>
      </w:r>
      <w:r w:rsidR="00E66B09">
        <w:rPr>
          <w:rFonts w:ascii="Arial" w:eastAsia="Candara-Bold" w:hAnsi="Arial" w:cs="Arial"/>
          <w:bCs/>
        </w:rPr>
        <w:t xml:space="preserve">analizowano wyniki badania tomografii komputerowej u pacjentów z guzem chromochłonnym w celu ustalenia punktu odcięcia dla parametru gęstości mierzonej w jednostkach </w:t>
      </w:r>
      <w:proofErr w:type="spellStart"/>
      <w:r w:rsidR="00E66B09">
        <w:rPr>
          <w:rFonts w:ascii="Arial" w:eastAsia="Candara-Bold" w:hAnsi="Arial" w:cs="Arial"/>
          <w:bCs/>
        </w:rPr>
        <w:t>Hounsfielda</w:t>
      </w:r>
      <w:proofErr w:type="spellEnd"/>
      <w:r w:rsidR="00E66B09">
        <w:rPr>
          <w:rFonts w:ascii="Arial" w:eastAsia="Candara-Bold" w:hAnsi="Arial" w:cs="Arial"/>
          <w:bCs/>
        </w:rPr>
        <w:t xml:space="preserve"> dla rozpoznania guza chromochłonnego. Wynikiem współpracy było ustne doniesienie w ramach konferencji ENSAT. Publikacja jest obecnie w przygotowaniu.    </w:t>
      </w:r>
      <w:r w:rsidR="00E66B09" w:rsidRPr="00E66B09">
        <w:rPr>
          <w:rFonts w:ascii="Arial" w:eastAsia="Candara-Bold" w:hAnsi="Arial" w:cs="Arial"/>
          <w:bCs/>
        </w:rPr>
        <w:t xml:space="preserve"> </w:t>
      </w:r>
    </w:p>
    <w:p w:rsidR="00A74094" w:rsidRPr="00A74094" w:rsidRDefault="00A74094" w:rsidP="00BE798F">
      <w:pPr>
        <w:spacing w:line="360" w:lineRule="auto"/>
        <w:jc w:val="both"/>
        <w:rPr>
          <w:rFonts w:ascii="Arial" w:hAnsi="Arial" w:cs="Arial"/>
          <w:b/>
          <w:bCs/>
          <w:shd w:val="clear" w:color="auto" w:fill="FFFFFF"/>
        </w:rPr>
      </w:pPr>
      <w:r w:rsidRPr="00A74094">
        <w:rPr>
          <w:rFonts w:ascii="Arial" w:hAnsi="Arial" w:cs="Arial"/>
          <w:b/>
          <w:bCs/>
          <w:shd w:val="clear" w:color="auto" w:fill="FFFFFF"/>
        </w:rPr>
        <w:t xml:space="preserve">Recenzje </w:t>
      </w:r>
    </w:p>
    <w:p w:rsidR="00BE798F" w:rsidRDefault="001E2683" w:rsidP="00BE798F">
      <w:pPr>
        <w:spacing w:line="360" w:lineRule="auto"/>
        <w:jc w:val="both"/>
        <w:rPr>
          <w:rFonts w:ascii="Arial" w:hAnsi="Arial" w:cs="Arial"/>
          <w:bCs/>
          <w:shd w:val="clear" w:color="auto" w:fill="FFFFFF"/>
        </w:rPr>
      </w:pPr>
      <w:r w:rsidRPr="00DC1C55">
        <w:rPr>
          <w:rFonts w:ascii="Arial" w:hAnsi="Arial" w:cs="Arial"/>
          <w:bCs/>
          <w:shd w:val="clear" w:color="auto" w:fill="FFFFFF"/>
        </w:rPr>
        <w:t>Jestem recenzentem publikacji w</w:t>
      </w:r>
      <w:r w:rsidR="00BE798F">
        <w:rPr>
          <w:rFonts w:ascii="Arial" w:hAnsi="Arial" w:cs="Arial"/>
          <w:bCs/>
          <w:shd w:val="clear" w:color="auto" w:fill="FFFFFF"/>
        </w:rPr>
        <w:t>:</w:t>
      </w:r>
      <w:r w:rsidRPr="00DC1C55">
        <w:rPr>
          <w:rFonts w:ascii="Arial" w:hAnsi="Arial" w:cs="Arial"/>
          <w:bCs/>
          <w:shd w:val="clear" w:color="auto" w:fill="FFFFFF"/>
        </w:rPr>
        <w:t xml:space="preserve"> </w:t>
      </w:r>
    </w:p>
    <w:p w:rsidR="00BE798F" w:rsidRPr="00BE798F" w:rsidRDefault="001E2683" w:rsidP="00BE798F">
      <w:pPr>
        <w:pStyle w:val="Akapitzlist"/>
        <w:numPr>
          <w:ilvl w:val="0"/>
          <w:numId w:val="30"/>
        </w:numPr>
        <w:spacing w:line="360" w:lineRule="auto"/>
        <w:jc w:val="both"/>
        <w:rPr>
          <w:rFonts w:ascii="Arial" w:hAnsi="Arial" w:cs="Arial"/>
          <w:bCs/>
          <w:shd w:val="clear" w:color="auto" w:fill="FFFFFF"/>
        </w:rPr>
      </w:pPr>
      <w:r w:rsidRPr="00BE798F">
        <w:rPr>
          <w:rFonts w:ascii="Arial" w:hAnsi="Arial" w:cs="Arial"/>
          <w:bCs/>
          <w:shd w:val="clear" w:color="auto" w:fill="FFFFFF"/>
        </w:rPr>
        <w:t xml:space="preserve">Endokrynologii Polskiej, </w:t>
      </w:r>
      <w:r w:rsidR="00023B13" w:rsidRPr="00BE798F">
        <w:rPr>
          <w:rFonts w:ascii="Arial" w:hAnsi="Arial" w:cs="Arial"/>
          <w:bCs/>
          <w:shd w:val="clear" w:color="auto" w:fill="FFFFFF"/>
        </w:rPr>
        <w:t xml:space="preserve"> </w:t>
      </w:r>
    </w:p>
    <w:p w:rsidR="00BE798F" w:rsidRPr="00E66B09" w:rsidRDefault="001E2683" w:rsidP="00BE798F">
      <w:pPr>
        <w:pStyle w:val="Akapitzlist"/>
        <w:numPr>
          <w:ilvl w:val="0"/>
          <w:numId w:val="30"/>
        </w:numPr>
        <w:spacing w:line="360" w:lineRule="auto"/>
        <w:jc w:val="both"/>
        <w:rPr>
          <w:rFonts w:ascii="Arial" w:hAnsi="Arial" w:cs="Arial"/>
        </w:rPr>
      </w:pPr>
      <w:proofErr w:type="spellStart"/>
      <w:r w:rsidRPr="00E66B09">
        <w:rPr>
          <w:rFonts w:ascii="Arial" w:hAnsi="Arial" w:cs="Arial"/>
        </w:rPr>
        <w:t>Advances</w:t>
      </w:r>
      <w:proofErr w:type="spellEnd"/>
      <w:r w:rsidRPr="00E66B09">
        <w:rPr>
          <w:rFonts w:ascii="Arial" w:hAnsi="Arial" w:cs="Arial"/>
        </w:rPr>
        <w:t xml:space="preserve"> </w:t>
      </w:r>
      <w:proofErr w:type="spellStart"/>
      <w:r w:rsidRPr="00E66B09">
        <w:rPr>
          <w:rFonts w:ascii="Arial" w:hAnsi="Arial" w:cs="Arial"/>
        </w:rPr>
        <w:t>in</w:t>
      </w:r>
      <w:proofErr w:type="spellEnd"/>
      <w:r w:rsidRPr="00E66B09">
        <w:rPr>
          <w:rFonts w:ascii="Arial" w:hAnsi="Arial" w:cs="Arial"/>
        </w:rPr>
        <w:t xml:space="preserve"> </w:t>
      </w:r>
      <w:proofErr w:type="spellStart"/>
      <w:r w:rsidRPr="00E66B09">
        <w:rPr>
          <w:rFonts w:ascii="Arial" w:hAnsi="Arial" w:cs="Arial"/>
        </w:rPr>
        <w:t>Medical</w:t>
      </w:r>
      <w:proofErr w:type="spellEnd"/>
      <w:r w:rsidRPr="00E66B09">
        <w:rPr>
          <w:rFonts w:ascii="Arial" w:hAnsi="Arial" w:cs="Arial"/>
        </w:rPr>
        <w:t xml:space="preserve"> Sciences, </w:t>
      </w:r>
    </w:p>
    <w:p w:rsidR="00BE798F" w:rsidRPr="00E66B09" w:rsidRDefault="001E2683" w:rsidP="00BE798F">
      <w:pPr>
        <w:pStyle w:val="Akapitzlist"/>
        <w:numPr>
          <w:ilvl w:val="0"/>
          <w:numId w:val="30"/>
        </w:numPr>
        <w:spacing w:line="360" w:lineRule="auto"/>
        <w:jc w:val="both"/>
        <w:rPr>
          <w:rFonts w:ascii="Arial" w:hAnsi="Arial" w:cs="Arial"/>
        </w:rPr>
      </w:pPr>
      <w:proofErr w:type="spellStart"/>
      <w:r w:rsidRPr="00E66B09">
        <w:rPr>
          <w:rFonts w:ascii="Arial" w:hAnsi="Arial" w:cs="Arial"/>
        </w:rPr>
        <w:t>Psychoneuroendocrinology</w:t>
      </w:r>
      <w:proofErr w:type="spellEnd"/>
      <w:r w:rsidRPr="00E66B09">
        <w:rPr>
          <w:rFonts w:ascii="Arial" w:hAnsi="Arial" w:cs="Arial"/>
        </w:rPr>
        <w:t xml:space="preserve">, </w:t>
      </w:r>
    </w:p>
    <w:p w:rsidR="00BE798F" w:rsidRPr="00BE798F" w:rsidRDefault="001E2683" w:rsidP="00BE798F">
      <w:pPr>
        <w:pStyle w:val="Akapitzlist"/>
        <w:numPr>
          <w:ilvl w:val="0"/>
          <w:numId w:val="30"/>
        </w:numPr>
        <w:spacing w:line="360" w:lineRule="auto"/>
        <w:jc w:val="both"/>
        <w:rPr>
          <w:rFonts w:ascii="Arial" w:hAnsi="Arial" w:cs="Arial"/>
          <w:lang w:val="en-US"/>
        </w:rPr>
      </w:pPr>
      <w:r w:rsidRPr="00EE62E1">
        <w:rPr>
          <w:rFonts w:ascii="Arial" w:hAnsi="Arial" w:cs="Arial"/>
          <w:color w:val="000000"/>
          <w:shd w:val="clear" w:color="auto" w:fill="FFFFFF"/>
          <w:lang w:val="en-US"/>
        </w:rPr>
        <w:t>Endocrino</w:t>
      </w:r>
      <w:r w:rsidRPr="00BE798F">
        <w:rPr>
          <w:rFonts w:ascii="Arial" w:hAnsi="Arial" w:cs="Arial"/>
          <w:color w:val="000000"/>
          <w:shd w:val="clear" w:color="auto" w:fill="FFFFFF"/>
          <w:lang w:val="en-US"/>
        </w:rPr>
        <w:t>logy, Diabetes &amp; Metabolism Case Reports,</w:t>
      </w:r>
      <w:r w:rsidRPr="00BE798F">
        <w:rPr>
          <w:rFonts w:ascii="Arial" w:hAnsi="Arial" w:cs="Arial"/>
          <w:lang w:val="en-US"/>
        </w:rPr>
        <w:t xml:space="preserve"> </w:t>
      </w:r>
    </w:p>
    <w:p w:rsidR="00BE798F" w:rsidRPr="0004773F" w:rsidRDefault="001E2683" w:rsidP="00BE798F">
      <w:pPr>
        <w:pStyle w:val="Akapitzlist"/>
        <w:numPr>
          <w:ilvl w:val="0"/>
          <w:numId w:val="30"/>
        </w:numPr>
        <w:spacing w:line="360" w:lineRule="auto"/>
        <w:jc w:val="both"/>
        <w:rPr>
          <w:rFonts w:ascii="Arial" w:hAnsi="Arial" w:cs="Arial"/>
        </w:rPr>
      </w:pPr>
      <w:r w:rsidRPr="0004773F">
        <w:rPr>
          <w:rFonts w:ascii="Arial" w:hAnsi="Arial" w:cs="Arial"/>
        </w:rPr>
        <w:t>Postęp</w:t>
      </w:r>
      <w:r w:rsidR="00D6717C" w:rsidRPr="0004773F">
        <w:rPr>
          <w:rFonts w:ascii="Arial" w:hAnsi="Arial" w:cs="Arial"/>
        </w:rPr>
        <w:t>ach</w:t>
      </w:r>
      <w:r w:rsidRPr="0004773F">
        <w:rPr>
          <w:rFonts w:ascii="Arial" w:hAnsi="Arial" w:cs="Arial"/>
        </w:rPr>
        <w:t xml:space="preserve"> Higieny i Medycyny Doświadczalnej, </w:t>
      </w:r>
    </w:p>
    <w:p w:rsidR="00C61469" w:rsidRPr="00BE798F" w:rsidRDefault="001E2683" w:rsidP="00BE798F">
      <w:pPr>
        <w:pStyle w:val="Akapitzlist"/>
        <w:numPr>
          <w:ilvl w:val="0"/>
          <w:numId w:val="30"/>
        </w:numPr>
        <w:spacing w:line="360" w:lineRule="auto"/>
        <w:jc w:val="both"/>
        <w:rPr>
          <w:rFonts w:ascii="Arial" w:hAnsi="Arial" w:cs="Arial"/>
          <w:lang w:val="en-US"/>
        </w:rPr>
      </w:pPr>
      <w:r w:rsidRPr="00BE798F">
        <w:rPr>
          <w:rFonts w:ascii="Arial" w:hAnsi="Arial" w:cs="Arial"/>
          <w:lang w:val="en-US"/>
        </w:rPr>
        <w:t>Clinical Epidemiology.</w:t>
      </w:r>
    </w:p>
    <w:p w:rsidR="00BE798F" w:rsidRDefault="009C5B30" w:rsidP="00BE798F">
      <w:pPr>
        <w:spacing w:line="360" w:lineRule="auto"/>
        <w:jc w:val="both"/>
        <w:rPr>
          <w:rFonts w:ascii="Arial" w:hAnsi="Arial" w:cs="Arial"/>
        </w:rPr>
      </w:pPr>
      <w:r>
        <w:rPr>
          <w:rFonts w:ascii="Arial" w:hAnsi="Arial" w:cs="Arial"/>
        </w:rPr>
        <w:lastRenderedPageBreak/>
        <w:t>Jestem recenzentem prac magisterskich</w:t>
      </w:r>
      <w:r w:rsidR="00150B2E" w:rsidRPr="00150B2E">
        <w:rPr>
          <w:rFonts w:ascii="Arial" w:hAnsi="Arial" w:cs="Arial"/>
        </w:rPr>
        <w:t xml:space="preserve"> studentów Wydziału </w:t>
      </w:r>
      <w:r w:rsidR="00BE798F">
        <w:rPr>
          <w:rFonts w:ascii="Arial" w:hAnsi="Arial" w:cs="Arial"/>
        </w:rPr>
        <w:t>Nauki o Zdrowiu:</w:t>
      </w:r>
    </w:p>
    <w:p w:rsidR="00BE798F" w:rsidRDefault="00BE798F" w:rsidP="00BE798F">
      <w:pPr>
        <w:pStyle w:val="Akapitzlist"/>
        <w:numPr>
          <w:ilvl w:val="0"/>
          <w:numId w:val="29"/>
        </w:numPr>
        <w:spacing w:line="360" w:lineRule="auto"/>
        <w:jc w:val="both"/>
        <w:rPr>
          <w:rFonts w:ascii="Arial" w:hAnsi="Arial" w:cs="Arial"/>
        </w:rPr>
      </w:pPr>
      <w:r>
        <w:rPr>
          <w:rFonts w:ascii="Arial" w:hAnsi="Arial" w:cs="Arial"/>
        </w:rPr>
        <w:t>Zachowania zdrowotne pacjentów z cukr</w:t>
      </w:r>
      <w:r w:rsidR="0004773F">
        <w:rPr>
          <w:rFonts w:ascii="Arial" w:hAnsi="Arial" w:cs="Arial"/>
        </w:rPr>
        <w:t>zycą w zakresie prewencji zespoł</w:t>
      </w:r>
      <w:r>
        <w:rPr>
          <w:rFonts w:ascii="Arial" w:hAnsi="Arial" w:cs="Arial"/>
        </w:rPr>
        <w:t xml:space="preserve">u stopy cukrzycowej </w:t>
      </w:r>
    </w:p>
    <w:p w:rsidR="00BE798F" w:rsidRDefault="00BE798F" w:rsidP="00BE798F">
      <w:pPr>
        <w:pStyle w:val="Akapitzlist"/>
        <w:numPr>
          <w:ilvl w:val="0"/>
          <w:numId w:val="29"/>
        </w:numPr>
        <w:spacing w:line="360" w:lineRule="auto"/>
        <w:jc w:val="both"/>
        <w:rPr>
          <w:rFonts w:ascii="Arial" w:hAnsi="Arial" w:cs="Arial"/>
        </w:rPr>
      </w:pPr>
      <w:r w:rsidRPr="00BE798F">
        <w:rPr>
          <w:rFonts w:ascii="Arial" w:hAnsi="Arial" w:cs="Arial"/>
        </w:rPr>
        <w:t xml:space="preserve">Poprawa komfortu życia pacjentów z nadczynnością tarczycy  </w:t>
      </w:r>
      <w:r>
        <w:rPr>
          <w:rFonts w:ascii="Arial" w:hAnsi="Arial" w:cs="Arial"/>
        </w:rPr>
        <w:t xml:space="preserve">po leczeniu </w:t>
      </w:r>
      <w:proofErr w:type="spellStart"/>
      <w:r>
        <w:rPr>
          <w:rFonts w:ascii="Arial" w:hAnsi="Arial" w:cs="Arial"/>
        </w:rPr>
        <w:t>radiojodem</w:t>
      </w:r>
      <w:proofErr w:type="spellEnd"/>
    </w:p>
    <w:p w:rsidR="00BE798F" w:rsidRPr="00BE798F" w:rsidRDefault="00BE798F" w:rsidP="00BE798F">
      <w:pPr>
        <w:pStyle w:val="Akapitzlist"/>
        <w:numPr>
          <w:ilvl w:val="0"/>
          <w:numId w:val="29"/>
        </w:numPr>
        <w:spacing w:line="360" w:lineRule="auto"/>
        <w:jc w:val="both"/>
        <w:rPr>
          <w:rFonts w:ascii="Arial" w:hAnsi="Arial" w:cs="Arial"/>
        </w:rPr>
      </w:pPr>
      <w:r>
        <w:rPr>
          <w:rFonts w:ascii="Arial" w:hAnsi="Arial" w:cs="Arial"/>
        </w:rPr>
        <w:t xml:space="preserve">Cukrzyca jako problem społeczny XXI-wieku. </w:t>
      </w:r>
    </w:p>
    <w:p w:rsidR="00150B2E" w:rsidRPr="00A74094" w:rsidRDefault="00A74094" w:rsidP="00BE798F">
      <w:pPr>
        <w:spacing w:line="360" w:lineRule="auto"/>
        <w:jc w:val="both"/>
        <w:rPr>
          <w:rFonts w:ascii="Arial" w:hAnsi="Arial" w:cs="Arial"/>
          <w:b/>
        </w:rPr>
      </w:pPr>
      <w:r>
        <w:rPr>
          <w:rFonts w:ascii="Arial" w:hAnsi="Arial" w:cs="Arial"/>
          <w:b/>
        </w:rPr>
        <w:t>Staż</w:t>
      </w:r>
      <w:r w:rsidRPr="00A74094">
        <w:rPr>
          <w:rFonts w:ascii="Arial" w:hAnsi="Arial" w:cs="Arial"/>
          <w:b/>
        </w:rPr>
        <w:t xml:space="preserve">e </w:t>
      </w:r>
    </w:p>
    <w:p w:rsidR="00150B2E" w:rsidRPr="00150B2E" w:rsidRDefault="00150B2E" w:rsidP="00900A5C">
      <w:pPr>
        <w:spacing w:line="360" w:lineRule="auto"/>
        <w:ind w:firstLine="708"/>
        <w:jc w:val="both"/>
        <w:rPr>
          <w:rFonts w:ascii="Arial" w:hAnsi="Arial" w:cs="Arial"/>
          <w:b/>
        </w:rPr>
      </w:pPr>
      <w:r w:rsidRPr="005149EB">
        <w:rPr>
          <w:rFonts w:ascii="Arial" w:hAnsi="Arial" w:cs="Arial"/>
          <w:lang w:val="cs-CZ"/>
        </w:rPr>
        <w:t>Uczestniczyłam w dwóch programach stażowych</w:t>
      </w:r>
      <w:r>
        <w:rPr>
          <w:rFonts w:ascii="Arial" w:hAnsi="Arial" w:cs="Arial"/>
          <w:lang w:val="cs-CZ"/>
        </w:rPr>
        <w:t xml:space="preserve"> - w  roku </w:t>
      </w:r>
      <w:r w:rsidRPr="005149EB">
        <w:rPr>
          <w:rFonts w:ascii="Arial" w:eastAsia="Times New Roman" w:hAnsi="Arial" w:cs="Arial"/>
          <w:lang w:val="cs-CZ"/>
        </w:rPr>
        <w:t xml:space="preserve">2015, w ramach Programu Erasmus Plus w </w:t>
      </w:r>
      <w:r w:rsidR="004F4D62">
        <w:fldChar w:fldCharType="begin"/>
      </w:r>
      <w:r w:rsidR="004F4D62">
        <w:instrText>HYPERLINK "http://www.uni-wuerzburg.de/ueber/fakultaeten/medizin/startseite/"</w:instrText>
      </w:r>
      <w:r w:rsidR="004F4D62">
        <w:fldChar w:fldCharType="separate"/>
      </w:r>
      <w:r w:rsidRPr="005149EB">
        <w:rPr>
          <w:rStyle w:val="Hipercze"/>
          <w:rFonts w:ascii="Arial" w:hAnsi="Arial" w:cs="Arial"/>
          <w:color w:val="auto"/>
          <w:u w:val="none"/>
          <w:lang w:val="cs-CZ"/>
        </w:rPr>
        <w:t>Julius-Maximilian-Universitat w Wurzburg</w:t>
      </w:r>
      <w:r w:rsidR="004F4D62">
        <w:fldChar w:fldCharType="end"/>
      </w:r>
      <w:r w:rsidRPr="005149EB">
        <w:rPr>
          <w:rFonts w:ascii="Arial" w:hAnsi="Arial" w:cs="Arial"/>
          <w:lang w:val="cs-CZ"/>
        </w:rPr>
        <w:t xml:space="preserve">u oraz </w:t>
      </w:r>
      <w:r w:rsidRPr="005149EB">
        <w:rPr>
          <w:rFonts w:ascii="Arial" w:eastAsia="Times New Roman" w:hAnsi="Arial" w:cs="Arial"/>
          <w:lang w:val="cs-CZ"/>
        </w:rPr>
        <w:t>2016 w ramach współpracy grupy ENSAT w  University of Birmingham, Institute of Metabolism and System Research.</w:t>
      </w:r>
    </w:p>
    <w:p w:rsidR="00BE798F" w:rsidRDefault="00BE798F" w:rsidP="00150B2E">
      <w:pPr>
        <w:spacing w:line="360" w:lineRule="auto"/>
        <w:jc w:val="both"/>
        <w:rPr>
          <w:rFonts w:ascii="Arial" w:hAnsi="Arial" w:cs="Arial"/>
          <w:b/>
        </w:rPr>
      </w:pPr>
    </w:p>
    <w:p w:rsidR="00150B2E" w:rsidRPr="00351805" w:rsidRDefault="00900A5C" w:rsidP="00150B2E">
      <w:pPr>
        <w:spacing w:line="360" w:lineRule="auto"/>
        <w:jc w:val="both"/>
        <w:rPr>
          <w:rFonts w:ascii="Arial" w:hAnsi="Arial" w:cs="Arial"/>
          <w:b/>
        </w:rPr>
      </w:pPr>
      <w:r>
        <w:rPr>
          <w:rFonts w:ascii="Arial" w:hAnsi="Arial" w:cs="Arial"/>
          <w:b/>
        </w:rPr>
        <w:t>Działal</w:t>
      </w:r>
      <w:r w:rsidR="00150B2E" w:rsidRPr="00351805">
        <w:rPr>
          <w:rFonts w:ascii="Arial" w:hAnsi="Arial" w:cs="Arial"/>
          <w:b/>
        </w:rPr>
        <w:t>ność dydaktyczna i organizacyjna</w:t>
      </w:r>
    </w:p>
    <w:p w:rsidR="00150B2E" w:rsidRPr="00351805" w:rsidRDefault="00150B2E" w:rsidP="00150B2E">
      <w:pPr>
        <w:spacing w:line="360" w:lineRule="auto"/>
        <w:jc w:val="both"/>
        <w:rPr>
          <w:rFonts w:ascii="Arial" w:hAnsi="Arial" w:cs="Arial"/>
          <w:b/>
        </w:rPr>
      </w:pPr>
      <w:r w:rsidRPr="00351805">
        <w:rPr>
          <w:rFonts w:ascii="Arial" w:hAnsi="Arial" w:cs="Arial"/>
          <w:b/>
        </w:rPr>
        <w:t>Dydaktyka dla studentów</w:t>
      </w:r>
    </w:p>
    <w:p w:rsidR="00150B2E" w:rsidRDefault="00150B2E" w:rsidP="00150B2E">
      <w:pPr>
        <w:spacing w:line="360" w:lineRule="auto"/>
        <w:ind w:firstLine="708"/>
        <w:jc w:val="both"/>
        <w:rPr>
          <w:rFonts w:ascii="Arial" w:hAnsi="Arial" w:cs="Arial"/>
          <w:lang w:val="cs-CZ"/>
        </w:rPr>
      </w:pPr>
      <w:r w:rsidRPr="00BC42DC">
        <w:rPr>
          <w:rFonts w:ascii="Arial" w:hAnsi="Arial" w:cs="Arial"/>
        </w:rPr>
        <w:t>Od 200</w:t>
      </w:r>
      <w:r>
        <w:rPr>
          <w:rFonts w:ascii="Arial" w:hAnsi="Arial" w:cs="Arial"/>
        </w:rPr>
        <w:t>1</w:t>
      </w:r>
      <w:r w:rsidRPr="00BC42DC">
        <w:rPr>
          <w:rFonts w:ascii="Arial" w:hAnsi="Arial" w:cs="Arial"/>
        </w:rPr>
        <w:t xml:space="preserve"> roku jestem </w:t>
      </w:r>
      <w:r w:rsidRPr="00BC42DC">
        <w:rPr>
          <w:rFonts w:ascii="Arial" w:hAnsi="Arial" w:cs="Arial"/>
          <w:lang w:val="cs-CZ"/>
        </w:rPr>
        <w:t>nauczycielem akademickim,  uczestn</w:t>
      </w:r>
      <w:r>
        <w:rPr>
          <w:rFonts w:ascii="Arial" w:hAnsi="Arial" w:cs="Arial"/>
          <w:lang w:val="cs-CZ"/>
        </w:rPr>
        <w:t xml:space="preserve">iczę w nauczaniu chorób wewnętrznych, endokrynologii i onkologii studentów III, V i </w:t>
      </w:r>
      <w:r w:rsidRPr="00BC42DC">
        <w:rPr>
          <w:rFonts w:ascii="Arial" w:hAnsi="Arial" w:cs="Arial"/>
          <w:lang w:val="cs-CZ"/>
        </w:rPr>
        <w:t>VI roku I Wydziału Lekarskiego Warszawskiego Uniwersytetu Medycznego</w:t>
      </w:r>
      <w:r>
        <w:rPr>
          <w:rFonts w:ascii="Arial" w:hAnsi="Arial" w:cs="Arial"/>
          <w:lang w:val="cs-CZ"/>
        </w:rPr>
        <w:t xml:space="preserve"> oraz oddział</w:t>
      </w:r>
      <w:r w:rsidR="004972D1">
        <w:rPr>
          <w:rFonts w:ascii="Arial" w:hAnsi="Arial" w:cs="Arial"/>
          <w:lang w:val="cs-CZ"/>
        </w:rPr>
        <w:t>ów</w:t>
      </w:r>
      <w:r>
        <w:rPr>
          <w:rFonts w:ascii="Arial" w:hAnsi="Arial" w:cs="Arial"/>
          <w:lang w:val="cs-CZ"/>
        </w:rPr>
        <w:t xml:space="preserve"> English Devision II Wydziału Lekarskiego </w:t>
      </w:r>
      <w:r w:rsidRPr="00BC42DC">
        <w:rPr>
          <w:rFonts w:ascii="Arial" w:hAnsi="Arial" w:cs="Arial"/>
          <w:lang w:val="cs-CZ"/>
        </w:rPr>
        <w:t>Warszawskiego Uniwersytetu Medycznego.  Od 201</w:t>
      </w:r>
      <w:r>
        <w:rPr>
          <w:rFonts w:ascii="Arial" w:hAnsi="Arial" w:cs="Arial"/>
          <w:lang w:val="cs-CZ"/>
        </w:rPr>
        <w:t>0</w:t>
      </w:r>
      <w:r w:rsidRPr="00BC42DC">
        <w:rPr>
          <w:rFonts w:ascii="Arial" w:hAnsi="Arial" w:cs="Arial"/>
          <w:lang w:val="cs-CZ"/>
        </w:rPr>
        <w:t xml:space="preserve"> roku jestem opiekunem Studenckiego Koła Naukowego </w:t>
      </w:r>
      <w:r>
        <w:rPr>
          <w:rFonts w:ascii="Arial" w:hAnsi="Arial" w:cs="Arial"/>
          <w:lang w:val="cs-CZ"/>
        </w:rPr>
        <w:t>Endocrinus</w:t>
      </w:r>
      <w:r w:rsidRPr="00BC42DC">
        <w:rPr>
          <w:rFonts w:ascii="Arial" w:hAnsi="Arial" w:cs="Arial"/>
          <w:lang w:val="cs-CZ"/>
        </w:rPr>
        <w:t xml:space="preserve"> działającego przy Klinice Chorób Wewnętrznych</w:t>
      </w:r>
      <w:r>
        <w:rPr>
          <w:rFonts w:ascii="Arial" w:hAnsi="Arial" w:cs="Arial"/>
          <w:lang w:val="cs-CZ"/>
        </w:rPr>
        <w:t xml:space="preserve"> i Endorynologii </w:t>
      </w:r>
      <w:r w:rsidRPr="00BC42DC">
        <w:rPr>
          <w:rFonts w:ascii="Arial" w:hAnsi="Arial" w:cs="Arial"/>
          <w:lang w:val="cs-CZ"/>
        </w:rPr>
        <w:t>W</w:t>
      </w:r>
      <w:r w:rsidR="000D0D2E">
        <w:rPr>
          <w:rFonts w:ascii="Arial" w:hAnsi="Arial" w:cs="Arial"/>
          <w:lang w:val="cs-CZ"/>
        </w:rPr>
        <w:t>arszwskiego Uniwersytetu Medycznego.</w:t>
      </w:r>
      <w:r>
        <w:rPr>
          <w:rFonts w:ascii="Arial" w:hAnsi="Arial" w:cs="Arial"/>
          <w:lang w:val="cs-CZ"/>
        </w:rPr>
        <w:t xml:space="preserve"> </w:t>
      </w:r>
      <w:r w:rsidRPr="002750DC">
        <w:rPr>
          <w:rFonts w:ascii="Arial" w:hAnsi="Arial" w:cs="Arial"/>
          <w:lang w:val="cs-CZ"/>
        </w:rPr>
        <w:t>W latach 2010-2014 byłam bezpośrednim</w:t>
      </w:r>
      <w:r>
        <w:rPr>
          <w:rFonts w:ascii="Arial" w:hAnsi="Arial" w:cs="Arial"/>
          <w:lang w:val="cs-CZ"/>
        </w:rPr>
        <w:t xml:space="preserve"> opiekunem koła a od 2015 jestem opiekunem naukowym. </w:t>
      </w:r>
      <w:r w:rsidRPr="00BC42DC">
        <w:rPr>
          <w:rFonts w:ascii="Arial" w:hAnsi="Arial" w:cs="Arial"/>
          <w:lang w:val="cs-CZ"/>
        </w:rPr>
        <w:t xml:space="preserve">W ramach działalności koła </w:t>
      </w:r>
      <w:r>
        <w:rPr>
          <w:rFonts w:ascii="Arial" w:hAnsi="Arial" w:cs="Arial"/>
          <w:lang w:val="cs-CZ"/>
        </w:rPr>
        <w:t>studenci pod moim nadzorem prezentowali prace w ramach licznych międzynarodowych konferencji jak również byli współautorami publikacji</w:t>
      </w:r>
      <w:r w:rsidR="00900A5C">
        <w:rPr>
          <w:rFonts w:ascii="Arial" w:hAnsi="Arial" w:cs="Arial"/>
          <w:lang w:val="cs-CZ"/>
        </w:rPr>
        <w:t xml:space="preserve"> wymienionych poniżej</w:t>
      </w:r>
      <w:r>
        <w:rPr>
          <w:rFonts w:ascii="Arial" w:hAnsi="Arial" w:cs="Arial"/>
          <w:lang w:val="cs-CZ"/>
        </w:rPr>
        <w:t xml:space="preserve">: </w:t>
      </w:r>
    </w:p>
    <w:p w:rsidR="00150B2E" w:rsidRPr="00396EDB" w:rsidRDefault="00150B2E" w:rsidP="00082450">
      <w:pPr>
        <w:rPr>
          <w:rFonts w:ascii="Arial" w:hAnsi="Arial" w:cs="Arial"/>
          <w:lang w:val="en-US"/>
        </w:rPr>
      </w:pPr>
      <w:proofErr w:type="spellStart"/>
      <w:r w:rsidRPr="001B5BE5">
        <w:rPr>
          <w:rFonts w:ascii="Arial" w:hAnsi="Arial" w:cs="Arial"/>
          <w:b/>
          <w:bCs/>
          <w:shd w:val="clear" w:color="auto" w:fill="FFFFFF"/>
          <w:lang w:val="en-US"/>
        </w:rPr>
        <w:t>Ambroziak</w:t>
      </w:r>
      <w:proofErr w:type="spellEnd"/>
      <w:r w:rsidRPr="001B5BE5">
        <w:rPr>
          <w:rFonts w:ascii="Arial" w:hAnsi="Arial" w:cs="Arial"/>
          <w:b/>
          <w:bCs/>
          <w:shd w:val="clear" w:color="auto" w:fill="FFFFFF"/>
          <w:lang w:val="en-US"/>
        </w:rPr>
        <w:t xml:space="preserve"> U, </w:t>
      </w:r>
      <w:proofErr w:type="spellStart"/>
      <w:r w:rsidRPr="001B5BE5">
        <w:rPr>
          <w:rFonts w:ascii="Arial" w:hAnsi="Arial" w:cs="Arial"/>
          <w:lang w:val="en-US"/>
        </w:rPr>
        <w:t>Kuryłowicz</w:t>
      </w:r>
      <w:proofErr w:type="spellEnd"/>
      <w:r w:rsidRPr="001B5BE5">
        <w:rPr>
          <w:rFonts w:ascii="Arial" w:hAnsi="Arial" w:cs="Arial"/>
          <w:lang w:val="en-US"/>
        </w:rPr>
        <w:t xml:space="preserve"> A, </w:t>
      </w:r>
      <w:proofErr w:type="spellStart"/>
      <w:r w:rsidRPr="001B5BE5">
        <w:rPr>
          <w:rFonts w:ascii="Arial" w:hAnsi="Arial" w:cs="Arial"/>
          <w:lang w:val="en-US"/>
        </w:rPr>
        <w:t>Kępczyńska-Nyk</w:t>
      </w:r>
      <w:proofErr w:type="spellEnd"/>
      <w:r w:rsidRPr="001B5BE5">
        <w:rPr>
          <w:rFonts w:ascii="Arial" w:hAnsi="Arial" w:cs="Arial"/>
          <w:lang w:val="en-US"/>
        </w:rPr>
        <w:t xml:space="preserve"> A, </w:t>
      </w:r>
      <w:proofErr w:type="spellStart"/>
      <w:r w:rsidRPr="001B5BE5">
        <w:rPr>
          <w:rFonts w:ascii="Arial" w:hAnsi="Arial" w:cs="Arial"/>
          <w:lang w:val="en-US"/>
        </w:rPr>
        <w:t>Kondracka</w:t>
      </w:r>
      <w:proofErr w:type="spellEnd"/>
      <w:r w:rsidRPr="001B5BE5">
        <w:rPr>
          <w:rFonts w:ascii="Arial" w:hAnsi="Arial" w:cs="Arial"/>
          <w:lang w:val="en-US"/>
        </w:rPr>
        <w:t xml:space="preserve"> A, </w:t>
      </w:r>
      <w:proofErr w:type="spellStart"/>
      <w:r w:rsidRPr="001B5BE5">
        <w:rPr>
          <w:rFonts w:ascii="Arial" w:hAnsi="Arial" w:cs="Arial"/>
          <w:u w:val="single"/>
          <w:lang w:val="en-US"/>
        </w:rPr>
        <w:t>Gajda</w:t>
      </w:r>
      <w:proofErr w:type="spellEnd"/>
      <w:r w:rsidRPr="001B5BE5">
        <w:rPr>
          <w:rFonts w:ascii="Arial" w:hAnsi="Arial" w:cs="Arial"/>
          <w:u w:val="single"/>
          <w:lang w:val="en-US"/>
        </w:rPr>
        <w:t xml:space="preserve"> S, </w:t>
      </w:r>
      <w:proofErr w:type="spellStart"/>
      <w:r w:rsidRPr="001B5BE5">
        <w:rPr>
          <w:rFonts w:ascii="Arial" w:hAnsi="Arial" w:cs="Arial"/>
          <w:u w:val="single"/>
          <w:lang w:val="en-US"/>
        </w:rPr>
        <w:t>Sieńko</w:t>
      </w:r>
      <w:proofErr w:type="spellEnd"/>
      <w:r w:rsidRPr="001B5BE5">
        <w:rPr>
          <w:rFonts w:ascii="Arial" w:hAnsi="Arial" w:cs="Arial"/>
          <w:u w:val="single"/>
          <w:lang w:val="en-US"/>
        </w:rPr>
        <w:t xml:space="preserve"> D</w:t>
      </w:r>
      <w:r w:rsidRPr="001B5BE5">
        <w:rPr>
          <w:rFonts w:ascii="Arial" w:hAnsi="Arial" w:cs="Arial"/>
          <w:lang w:val="en-US"/>
        </w:rPr>
        <w:t xml:space="preserve">. Salivary testosterone may not serve as a screening test in the diagnosis of biochemical </w:t>
      </w:r>
      <w:proofErr w:type="spellStart"/>
      <w:r w:rsidRPr="001B5BE5">
        <w:rPr>
          <w:rFonts w:ascii="Arial" w:hAnsi="Arial" w:cs="Arial"/>
          <w:lang w:val="en-US"/>
        </w:rPr>
        <w:t>hyperandrogenism</w:t>
      </w:r>
      <w:proofErr w:type="spellEnd"/>
      <w:r w:rsidRPr="001B5BE5">
        <w:rPr>
          <w:rFonts w:ascii="Arial" w:hAnsi="Arial" w:cs="Arial"/>
          <w:lang w:val="en-US"/>
        </w:rPr>
        <w:t xml:space="preserve">. </w:t>
      </w:r>
      <w:r w:rsidRPr="00396EDB">
        <w:rPr>
          <w:rFonts w:ascii="Arial" w:hAnsi="Arial" w:cs="Arial"/>
          <w:lang w:val="en-US"/>
        </w:rPr>
        <w:t xml:space="preserve">J </w:t>
      </w:r>
      <w:proofErr w:type="spellStart"/>
      <w:r w:rsidRPr="00396EDB">
        <w:rPr>
          <w:rFonts w:ascii="Arial" w:hAnsi="Arial" w:cs="Arial"/>
          <w:lang w:val="en-US"/>
        </w:rPr>
        <w:t>Obstet</w:t>
      </w:r>
      <w:proofErr w:type="spellEnd"/>
      <w:r w:rsidRPr="00396EDB">
        <w:rPr>
          <w:rFonts w:ascii="Arial" w:hAnsi="Arial" w:cs="Arial"/>
          <w:lang w:val="en-US"/>
        </w:rPr>
        <w:t xml:space="preserve"> </w:t>
      </w:r>
      <w:proofErr w:type="spellStart"/>
      <w:r w:rsidRPr="00396EDB">
        <w:rPr>
          <w:rFonts w:ascii="Arial" w:hAnsi="Arial" w:cs="Arial"/>
          <w:lang w:val="en-US"/>
        </w:rPr>
        <w:t>Gynecol</w:t>
      </w:r>
      <w:proofErr w:type="spellEnd"/>
      <w:r w:rsidRPr="00396EDB">
        <w:rPr>
          <w:rFonts w:ascii="Arial" w:hAnsi="Arial" w:cs="Arial"/>
          <w:lang w:val="en-US"/>
        </w:rPr>
        <w:t xml:space="preserve"> Res 2018. doi:10.1111/jog.13628</w:t>
      </w:r>
    </w:p>
    <w:p w:rsidR="00150B2E" w:rsidRPr="00D6717C" w:rsidRDefault="00150B2E" w:rsidP="00082450">
      <w:pPr>
        <w:rPr>
          <w:rFonts w:ascii="Arial" w:hAnsi="Arial" w:cs="Arial"/>
          <w:bCs/>
          <w:shd w:val="clear" w:color="auto" w:fill="FFFFFF"/>
          <w:lang w:val="en-US"/>
        </w:rPr>
      </w:pPr>
      <w:proofErr w:type="spellStart"/>
      <w:r w:rsidRPr="00F11961">
        <w:rPr>
          <w:rFonts w:ascii="Arial" w:hAnsi="Arial" w:cs="Arial"/>
          <w:bCs/>
          <w:shd w:val="clear" w:color="auto" w:fill="FFFFFF"/>
          <w:lang w:val="en-US"/>
        </w:rPr>
        <w:t>Kuryłowicz</w:t>
      </w:r>
      <w:proofErr w:type="spellEnd"/>
      <w:r w:rsidR="00F11961" w:rsidRPr="00F11961">
        <w:rPr>
          <w:rFonts w:ascii="Arial" w:hAnsi="Arial" w:cs="Arial"/>
          <w:bCs/>
          <w:shd w:val="clear" w:color="auto" w:fill="FFFFFF"/>
          <w:lang w:val="en-US"/>
        </w:rPr>
        <w:t xml:space="preserve"> A</w:t>
      </w:r>
      <w:r w:rsidRPr="00F11961">
        <w:rPr>
          <w:rFonts w:ascii="Arial" w:hAnsi="Arial" w:cs="Arial"/>
          <w:bCs/>
          <w:shd w:val="clear" w:color="auto" w:fill="FFFFFF"/>
          <w:lang w:val="en-US"/>
        </w:rPr>
        <w:t xml:space="preserve">, </w:t>
      </w:r>
      <w:proofErr w:type="spellStart"/>
      <w:r w:rsidRPr="00F11961">
        <w:rPr>
          <w:rFonts w:ascii="Arial" w:hAnsi="Arial" w:cs="Arial"/>
          <w:bCs/>
          <w:u w:val="single"/>
          <w:shd w:val="clear" w:color="auto" w:fill="FFFFFF"/>
          <w:lang w:val="en-US"/>
        </w:rPr>
        <w:t>Wesołowska</w:t>
      </w:r>
      <w:proofErr w:type="spellEnd"/>
      <w:r w:rsidR="00F11961" w:rsidRPr="00F11961">
        <w:rPr>
          <w:rFonts w:ascii="Arial" w:hAnsi="Arial" w:cs="Arial"/>
          <w:bCs/>
          <w:u w:val="single"/>
          <w:shd w:val="clear" w:color="auto" w:fill="FFFFFF"/>
          <w:lang w:val="en-US"/>
        </w:rPr>
        <w:t xml:space="preserve"> AS, </w:t>
      </w:r>
      <w:proofErr w:type="spellStart"/>
      <w:r w:rsidRPr="00F11961">
        <w:rPr>
          <w:rFonts w:ascii="Arial" w:hAnsi="Arial" w:cs="Arial"/>
          <w:bCs/>
          <w:u w:val="single"/>
          <w:shd w:val="clear" w:color="auto" w:fill="FFFFFF"/>
          <w:lang w:val="en-US"/>
        </w:rPr>
        <w:t>Wolska</w:t>
      </w:r>
      <w:proofErr w:type="spellEnd"/>
      <w:r w:rsidR="00F11961" w:rsidRPr="00F11961">
        <w:rPr>
          <w:rFonts w:ascii="Arial" w:hAnsi="Arial" w:cs="Arial"/>
          <w:bCs/>
          <w:u w:val="single"/>
          <w:shd w:val="clear" w:color="auto" w:fill="FFFFFF"/>
          <w:lang w:val="en-US"/>
        </w:rPr>
        <w:t xml:space="preserve"> A</w:t>
      </w:r>
      <w:r w:rsidR="00F11961" w:rsidRPr="00F11961">
        <w:rPr>
          <w:rFonts w:ascii="Arial" w:hAnsi="Arial" w:cs="Arial"/>
          <w:bCs/>
          <w:shd w:val="clear" w:color="auto" w:fill="FFFFFF"/>
          <w:lang w:val="en-US"/>
        </w:rPr>
        <w:t xml:space="preserve">, </w:t>
      </w:r>
      <w:proofErr w:type="spellStart"/>
      <w:r w:rsidRPr="00F11961">
        <w:rPr>
          <w:rFonts w:ascii="Arial" w:hAnsi="Arial" w:cs="Arial"/>
          <w:bCs/>
          <w:shd w:val="clear" w:color="auto" w:fill="FFFFFF"/>
          <w:lang w:val="en-US"/>
        </w:rPr>
        <w:t>Pachucki</w:t>
      </w:r>
      <w:proofErr w:type="spellEnd"/>
      <w:r w:rsidR="00F11961" w:rsidRPr="00F11961">
        <w:rPr>
          <w:rFonts w:ascii="Arial" w:hAnsi="Arial" w:cs="Arial"/>
          <w:bCs/>
          <w:shd w:val="clear" w:color="auto" w:fill="FFFFFF"/>
          <w:lang w:val="en-US"/>
        </w:rPr>
        <w:t xml:space="preserve"> J, </w:t>
      </w:r>
      <w:proofErr w:type="spellStart"/>
      <w:r w:rsidRPr="00F11961">
        <w:rPr>
          <w:rFonts w:ascii="Arial" w:hAnsi="Arial" w:cs="Arial"/>
          <w:bCs/>
          <w:shd w:val="clear" w:color="auto" w:fill="FFFFFF"/>
          <w:lang w:val="en-US"/>
        </w:rPr>
        <w:t>Bednarczuk</w:t>
      </w:r>
      <w:proofErr w:type="spellEnd"/>
      <w:r w:rsidR="00F11961" w:rsidRPr="00F11961">
        <w:rPr>
          <w:rFonts w:ascii="Arial" w:hAnsi="Arial" w:cs="Arial"/>
          <w:bCs/>
          <w:shd w:val="clear" w:color="auto" w:fill="FFFFFF"/>
          <w:lang w:val="en-US"/>
        </w:rPr>
        <w:t xml:space="preserve"> T</w:t>
      </w:r>
      <w:r w:rsidRPr="00F11961">
        <w:rPr>
          <w:rFonts w:ascii="Arial" w:hAnsi="Arial" w:cs="Arial"/>
          <w:bCs/>
          <w:shd w:val="clear" w:color="auto" w:fill="FFFFFF"/>
          <w:lang w:val="en-US"/>
        </w:rPr>
        <w:t xml:space="preserve">, </w:t>
      </w:r>
      <w:proofErr w:type="spellStart"/>
      <w:r w:rsidRPr="00F11961">
        <w:rPr>
          <w:rFonts w:ascii="Arial" w:hAnsi="Arial" w:cs="Arial"/>
          <w:b/>
          <w:bCs/>
          <w:shd w:val="clear" w:color="auto" w:fill="FFFFFF"/>
          <w:lang w:val="en-US"/>
        </w:rPr>
        <w:t>Ambroziak</w:t>
      </w:r>
      <w:proofErr w:type="spellEnd"/>
      <w:r w:rsidR="00F11961" w:rsidRPr="00F11961">
        <w:rPr>
          <w:rFonts w:ascii="Arial" w:hAnsi="Arial" w:cs="Arial"/>
          <w:b/>
          <w:bCs/>
          <w:shd w:val="clear" w:color="auto" w:fill="FFFFFF"/>
          <w:lang w:val="en-US"/>
        </w:rPr>
        <w:t xml:space="preserve"> U</w:t>
      </w:r>
      <w:r w:rsidRPr="00F11961">
        <w:rPr>
          <w:rFonts w:ascii="Arial" w:hAnsi="Arial" w:cs="Arial"/>
          <w:bCs/>
          <w:shd w:val="clear" w:color="auto" w:fill="FFFFFF"/>
          <w:lang w:val="en-US"/>
        </w:rPr>
        <w:t xml:space="preserve">. </w:t>
      </w:r>
      <w:r w:rsidRPr="00D6717C">
        <w:rPr>
          <w:rFonts w:ascii="Arial" w:hAnsi="Arial" w:cs="Arial"/>
          <w:bCs/>
          <w:iCs/>
          <w:shd w:val="clear" w:color="auto" w:fill="FFFFFF"/>
          <w:lang w:val="en-US"/>
        </w:rPr>
        <w:t xml:space="preserve">Safety and effectiveness of symptomatic </w:t>
      </w:r>
      <w:proofErr w:type="spellStart"/>
      <w:r w:rsidRPr="00D6717C">
        <w:rPr>
          <w:rFonts w:ascii="Arial" w:hAnsi="Arial" w:cs="Arial"/>
          <w:bCs/>
          <w:iCs/>
          <w:shd w:val="clear" w:color="auto" w:fill="FFFFFF"/>
          <w:lang w:val="en-US"/>
        </w:rPr>
        <w:t>hyponatremia</w:t>
      </w:r>
      <w:proofErr w:type="spellEnd"/>
      <w:r w:rsidRPr="00D6717C">
        <w:rPr>
          <w:rFonts w:ascii="Arial" w:hAnsi="Arial" w:cs="Arial"/>
          <w:bCs/>
          <w:iCs/>
          <w:shd w:val="clear" w:color="auto" w:fill="FFFFFF"/>
          <w:lang w:val="en-US"/>
        </w:rPr>
        <w:t xml:space="preserve"> treatment according to the European Society of Endocrinology guidelines: a retrospective study</w:t>
      </w:r>
      <w:r>
        <w:rPr>
          <w:rFonts w:ascii="Arial" w:hAnsi="Arial" w:cs="Arial"/>
          <w:bCs/>
          <w:iCs/>
          <w:shd w:val="clear" w:color="auto" w:fill="FFFFFF"/>
          <w:lang w:val="en-US"/>
        </w:rPr>
        <w:t xml:space="preserve">. </w:t>
      </w:r>
      <w:proofErr w:type="spellStart"/>
      <w:r w:rsidRPr="00D6717C">
        <w:rPr>
          <w:rFonts w:ascii="Arial" w:hAnsi="Arial" w:cs="Arial"/>
          <w:bCs/>
          <w:shd w:val="clear" w:color="auto" w:fill="FFFFFF"/>
          <w:lang w:val="en-US"/>
        </w:rPr>
        <w:t>Pol</w:t>
      </w:r>
      <w:proofErr w:type="spellEnd"/>
      <w:r w:rsidRPr="00D6717C">
        <w:rPr>
          <w:rFonts w:ascii="Arial" w:hAnsi="Arial" w:cs="Arial"/>
          <w:bCs/>
          <w:shd w:val="clear" w:color="auto" w:fill="FFFFFF"/>
          <w:lang w:val="en-US"/>
        </w:rPr>
        <w:t xml:space="preserve"> Arch Med </w:t>
      </w:r>
      <w:proofErr w:type="spellStart"/>
      <w:r w:rsidRPr="00D6717C">
        <w:rPr>
          <w:rFonts w:ascii="Arial" w:hAnsi="Arial" w:cs="Arial"/>
          <w:bCs/>
          <w:shd w:val="clear" w:color="auto" w:fill="FFFFFF"/>
          <w:lang w:val="en-US"/>
        </w:rPr>
        <w:t>Wewn</w:t>
      </w:r>
      <w:proofErr w:type="spellEnd"/>
      <w:r w:rsidRPr="00D6717C">
        <w:rPr>
          <w:rFonts w:ascii="Arial" w:hAnsi="Arial" w:cs="Arial"/>
          <w:bCs/>
          <w:shd w:val="clear" w:color="auto" w:fill="FFFFFF"/>
          <w:lang w:val="en-US"/>
        </w:rPr>
        <w:t xml:space="preserve"> – Polish Archives of Internal Medicine 2017; 127: 205-208</w:t>
      </w:r>
    </w:p>
    <w:p w:rsidR="00150B2E" w:rsidRPr="001B5BE5" w:rsidRDefault="00150B2E" w:rsidP="00082450">
      <w:pPr>
        <w:rPr>
          <w:rFonts w:ascii="Arial" w:hAnsi="Arial" w:cs="Arial"/>
          <w:lang w:val="en-US"/>
        </w:rPr>
      </w:pPr>
      <w:proofErr w:type="spellStart"/>
      <w:r w:rsidRPr="00C81F37">
        <w:rPr>
          <w:rFonts w:ascii="Arial" w:hAnsi="Arial" w:cs="Arial"/>
          <w:u w:val="single"/>
          <w:shd w:val="clear" w:color="auto" w:fill="FFFFFF"/>
          <w:lang w:val="en-US"/>
        </w:rPr>
        <w:t>Malec</w:t>
      </w:r>
      <w:proofErr w:type="spellEnd"/>
      <w:r w:rsidRPr="00C81F37">
        <w:rPr>
          <w:rFonts w:ascii="Arial" w:hAnsi="Arial" w:cs="Arial"/>
          <w:u w:val="single"/>
          <w:shd w:val="clear" w:color="auto" w:fill="FFFFFF"/>
          <w:lang w:val="en-US"/>
        </w:rPr>
        <w:t xml:space="preserve"> K</w:t>
      </w:r>
      <w:r w:rsidRPr="00C81F37">
        <w:rPr>
          <w:rFonts w:ascii="Arial" w:hAnsi="Arial" w:cs="Arial"/>
          <w:shd w:val="clear" w:color="auto" w:fill="FFFFFF"/>
          <w:lang w:val="en-US"/>
        </w:rPr>
        <w:t xml:space="preserve">, </w:t>
      </w:r>
      <w:proofErr w:type="spellStart"/>
      <w:r w:rsidRPr="00C81F37">
        <w:rPr>
          <w:rFonts w:ascii="Arial" w:hAnsi="Arial" w:cs="Arial"/>
          <w:shd w:val="clear" w:color="auto" w:fill="FFFFFF"/>
          <w:lang w:val="en-US"/>
        </w:rPr>
        <w:t>Miśkiewicz</w:t>
      </w:r>
      <w:proofErr w:type="spellEnd"/>
      <w:r w:rsidRPr="00C81F37">
        <w:rPr>
          <w:rFonts w:ascii="Arial" w:hAnsi="Arial" w:cs="Arial"/>
          <w:shd w:val="clear" w:color="auto" w:fill="FFFFFF"/>
          <w:lang w:val="en-US"/>
        </w:rPr>
        <w:t xml:space="preserve"> P, </w:t>
      </w:r>
      <w:proofErr w:type="spellStart"/>
      <w:r w:rsidRPr="00C81F37">
        <w:rPr>
          <w:rFonts w:ascii="Arial" w:hAnsi="Arial" w:cs="Arial"/>
          <w:u w:val="single"/>
          <w:shd w:val="clear" w:color="auto" w:fill="FFFFFF"/>
          <w:lang w:val="en-US"/>
        </w:rPr>
        <w:t>Witkowska</w:t>
      </w:r>
      <w:proofErr w:type="spellEnd"/>
      <w:r w:rsidRPr="00C81F37">
        <w:rPr>
          <w:rFonts w:ascii="Arial" w:hAnsi="Arial" w:cs="Arial"/>
          <w:u w:val="single"/>
          <w:shd w:val="clear" w:color="auto" w:fill="FFFFFF"/>
          <w:lang w:val="en-US"/>
        </w:rPr>
        <w:t xml:space="preserve"> A</w:t>
      </w:r>
      <w:r w:rsidRPr="00C81F37">
        <w:rPr>
          <w:rFonts w:ascii="Arial" w:hAnsi="Arial" w:cs="Arial"/>
          <w:shd w:val="clear" w:color="auto" w:fill="FFFFFF"/>
          <w:lang w:val="en-US"/>
        </w:rPr>
        <w:t xml:space="preserve">, </w:t>
      </w:r>
      <w:proofErr w:type="spellStart"/>
      <w:r w:rsidRPr="00C81F37">
        <w:rPr>
          <w:rFonts w:ascii="Arial" w:hAnsi="Arial" w:cs="Arial"/>
          <w:shd w:val="clear" w:color="auto" w:fill="FFFFFF"/>
          <w:lang w:val="en-US"/>
        </w:rPr>
        <w:t>Krajewska</w:t>
      </w:r>
      <w:proofErr w:type="spellEnd"/>
      <w:r w:rsidRPr="00C81F37">
        <w:rPr>
          <w:rFonts w:ascii="Arial" w:hAnsi="Arial" w:cs="Arial"/>
          <w:shd w:val="clear" w:color="auto" w:fill="FFFFFF"/>
          <w:lang w:val="en-US"/>
        </w:rPr>
        <w:t xml:space="preserve"> E, </w:t>
      </w:r>
      <w:proofErr w:type="spellStart"/>
      <w:r w:rsidRPr="00C81F37">
        <w:rPr>
          <w:rFonts w:ascii="Arial" w:hAnsi="Arial" w:cs="Arial"/>
          <w:shd w:val="clear" w:color="auto" w:fill="FFFFFF"/>
          <w:lang w:val="en-US"/>
        </w:rPr>
        <w:t>Toutounchi</w:t>
      </w:r>
      <w:proofErr w:type="spellEnd"/>
      <w:r w:rsidRPr="00C81F37">
        <w:rPr>
          <w:rFonts w:ascii="Arial" w:hAnsi="Arial" w:cs="Arial"/>
          <w:shd w:val="clear" w:color="auto" w:fill="FFFFFF"/>
          <w:lang w:val="en-US"/>
        </w:rPr>
        <w:t xml:space="preserve"> S, </w:t>
      </w:r>
      <w:proofErr w:type="spellStart"/>
      <w:r w:rsidRPr="00C81F37">
        <w:rPr>
          <w:rFonts w:ascii="Arial" w:hAnsi="Arial" w:cs="Arial"/>
          <w:shd w:val="clear" w:color="auto" w:fill="FFFFFF"/>
          <w:lang w:val="en-US"/>
        </w:rPr>
        <w:t>Gałązka</w:t>
      </w:r>
      <w:proofErr w:type="spellEnd"/>
      <w:r w:rsidRPr="00C81F37">
        <w:rPr>
          <w:rFonts w:ascii="Arial" w:hAnsi="Arial" w:cs="Arial"/>
          <w:shd w:val="clear" w:color="auto" w:fill="FFFFFF"/>
          <w:lang w:val="en-US"/>
        </w:rPr>
        <w:t xml:space="preserve"> Z, </w:t>
      </w:r>
      <w:proofErr w:type="spellStart"/>
      <w:r w:rsidRPr="00C81F37">
        <w:rPr>
          <w:rFonts w:ascii="Arial" w:hAnsi="Arial" w:cs="Arial"/>
          <w:shd w:val="clear" w:color="auto" w:fill="FFFFFF"/>
          <w:lang w:val="en-US"/>
        </w:rPr>
        <w:t>Piotrowski</w:t>
      </w:r>
      <w:proofErr w:type="spellEnd"/>
      <w:r w:rsidRPr="00C81F37">
        <w:rPr>
          <w:rFonts w:ascii="Arial" w:hAnsi="Arial" w:cs="Arial"/>
          <w:shd w:val="clear" w:color="auto" w:fill="FFFFFF"/>
          <w:lang w:val="en-US"/>
        </w:rPr>
        <w:t xml:space="preserve"> M, </w:t>
      </w:r>
      <w:proofErr w:type="spellStart"/>
      <w:r w:rsidRPr="00C81F37">
        <w:rPr>
          <w:rFonts w:ascii="Arial" w:hAnsi="Arial" w:cs="Arial"/>
          <w:shd w:val="clear" w:color="auto" w:fill="FFFFFF"/>
          <w:lang w:val="en-US"/>
        </w:rPr>
        <w:t>Kącka</w:t>
      </w:r>
      <w:proofErr w:type="spellEnd"/>
      <w:r w:rsidRPr="00C81F37">
        <w:rPr>
          <w:rFonts w:ascii="Arial" w:hAnsi="Arial" w:cs="Arial"/>
          <w:shd w:val="clear" w:color="auto" w:fill="FFFFFF"/>
          <w:lang w:val="en-US"/>
        </w:rPr>
        <w:t xml:space="preserve"> A, </w:t>
      </w:r>
      <w:proofErr w:type="spellStart"/>
      <w:r w:rsidRPr="00C81F37">
        <w:rPr>
          <w:rFonts w:ascii="Arial" w:hAnsi="Arial" w:cs="Arial"/>
          <w:shd w:val="clear" w:color="auto" w:fill="FFFFFF"/>
          <w:lang w:val="en-US"/>
        </w:rPr>
        <w:t>Bednarczuk</w:t>
      </w:r>
      <w:proofErr w:type="spellEnd"/>
      <w:r w:rsidRPr="00C81F37">
        <w:rPr>
          <w:rFonts w:ascii="Arial" w:hAnsi="Arial" w:cs="Arial"/>
          <w:shd w:val="clear" w:color="auto" w:fill="FFFFFF"/>
          <w:lang w:val="en-US"/>
        </w:rPr>
        <w:t xml:space="preserve"> T,</w:t>
      </w:r>
      <w:r w:rsidRPr="00C81F37">
        <w:rPr>
          <w:rStyle w:val="apple-converted-space"/>
          <w:rFonts w:cs="Arial"/>
          <w:shd w:val="clear" w:color="auto" w:fill="FFFFFF"/>
          <w:lang w:val="en-US"/>
        </w:rPr>
        <w:t> </w:t>
      </w:r>
      <w:proofErr w:type="spellStart"/>
      <w:r w:rsidRPr="00C81F37">
        <w:rPr>
          <w:rFonts w:ascii="Arial" w:hAnsi="Arial" w:cs="Arial"/>
          <w:b/>
          <w:bCs/>
          <w:shd w:val="clear" w:color="auto" w:fill="FFFFFF"/>
          <w:lang w:val="en-US"/>
        </w:rPr>
        <w:t>Ambroziak</w:t>
      </w:r>
      <w:proofErr w:type="spellEnd"/>
      <w:r w:rsidRPr="00C81F37">
        <w:rPr>
          <w:rFonts w:ascii="Arial" w:hAnsi="Arial" w:cs="Arial"/>
          <w:b/>
          <w:bCs/>
          <w:shd w:val="clear" w:color="auto" w:fill="FFFFFF"/>
          <w:lang w:val="en-US"/>
        </w:rPr>
        <w:t xml:space="preserve"> U.</w:t>
      </w:r>
      <w:r w:rsidRPr="00C81F37">
        <w:rPr>
          <w:rFonts w:ascii="Arial" w:hAnsi="Arial" w:cs="Arial"/>
          <w:lang w:val="en-US"/>
        </w:rPr>
        <w:t xml:space="preserve"> </w:t>
      </w:r>
      <w:hyperlink r:id="rId27" w:history="1">
        <w:r w:rsidRPr="005F2E96">
          <w:rPr>
            <w:rStyle w:val="Hipercze"/>
            <w:rFonts w:ascii="Arial" w:hAnsi="Arial" w:cs="Arial"/>
            <w:color w:val="auto"/>
            <w:u w:val="none"/>
            <w:shd w:val="clear" w:color="auto" w:fill="FFFFFF"/>
            <w:lang w:val="en-US"/>
          </w:rPr>
          <w:t xml:space="preserve">Comparison of </w:t>
        </w:r>
        <w:proofErr w:type="spellStart"/>
        <w:r w:rsidRPr="005F2E96">
          <w:rPr>
            <w:rStyle w:val="Hipercze"/>
            <w:rFonts w:ascii="Arial" w:hAnsi="Arial" w:cs="Arial"/>
            <w:color w:val="auto"/>
            <w:u w:val="none"/>
            <w:shd w:val="clear" w:color="auto" w:fill="FFFFFF"/>
            <w:lang w:val="en-US"/>
          </w:rPr>
          <w:t>phenoxybenzamine</w:t>
        </w:r>
        <w:proofErr w:type="spellEnd"/>
        <w:r w:rsidRPr="005F2E96">
          <w:rPr>
            <w:rStyle w:val="Hipercze"/>
            <w:rFonts w:ascii="Arial" w:hAnsi="Arial" w:cs="Arial"/>
            <w:color w:val="auto"/>
            <w:u w:val="none"/>
            <w:shd w:val="clear" w:color="auto" w:fill="FFFFFF"/>
            <w:lang w:val="en-US"/>
          </w:rPr>
          <w:t xml:space="preserve"> and </w:t>
        </w:r>
        <w:proofErr w:type="spellStart"/>
        <w:r w:rsidRPr="005F2E96">
          <w:rPr>
            <w:rStyle w:val="Hipercze"/>
            <w:rFonts w:ascii="Arial" w:hAnsi="Arial" w:cs="Arial"/>
            <w:color w:val="auto"/>
            <w:u w:val="none"/>
            <w:shd w:val="clear" w:color="auto" w:fill="FFFFFF"/>
            <w:lang w:val="en-US"/>
          </w:rPr>
          <w:t>doxazosin</w:t>
        </w:r>
        <w:proofErr w:type="spellEnd"/>
        <w:r w:rsidRPr="005F2E96">
          <w:rPr>
            <w:rStyle w:val="Hipercze"/>
            <w:rFonts w:ascii="Arial" w:hAnsi="Arial" w:cs="Arial"/>
            <w:color w:val="auto"/>
            <w:u w:val="none"/>
            <w:shd w:val="clear" w:color="auto" w:fill="FFFFFF"/>
            <w:lang w:val="en-US"/>
          </w:rPr>
          <w:t xml:space="preserve"> in </w:t>
        </w:r>
        <w:proofErr w:type="spellStart"/>
        <w:r w:rsidRPr="005F2E96">
          <w:rPr>
            <w:rStyle w:val="Hipercze"/>
            <w:rFonts w:ascii="Arial" w:hAnsi="Arial" w:cs="Arial"/>
            <w:color w:val="auto"/>
            <w:u w:val="none"/>
            <w:shd w:val="clear" w:color="auto" w:fill="FFFFFF"/>
            <w:lang w:val="en-US"/>
          </w:rPr>
          <w:t>perioperative</w:t>
        </w:r>
        <w:proofErr w:type="spellEnd"/>
        <w:r w:rsidRPr="005F2E96">
          <w:rPr>
            <w:rStyle w:val="Hipercze"/>
            <w:rFonts w:ascii="Arial" w:hAnsi="Arial" w:cs="Arial"/>
            <w:color w:val="auto"/>
            <w:u w:val="none"/>
            <w:shd w:val="clear" w:color="auto" w:fill="FFFFFF"/>
            <w:lang w:val="en-US"/>
          </w:rPr>
          <w:t xml:space="preserve"> management of patients with </w:t>
        </w:r>
        <w:proofErr w:type="spellStart"/>
        <w:r w:rsidRPr="005F2E96">
          <w:rPr>
            <w:rStyle w:val="Hipercze"/>
            <w:rFonts w:ascii="Arial" w:hAnsi="Arial" w:cs="Arial"/>
            <w:color w:val="auto"/>
            <w:u w:val="none"/>
            <w:shd w:val="clear" w:color="auto" w:fill="FFFFFF"/>
            <w:lang w:val="en-US"/>
          </w:rPr>
          <w:t>pheochromocytoma</w:t>
        </w:r>
        <w:proofErr w:type="spellEnd"/>
        <w:r w:rsidRPr="005F2E96">
          <w:rPr>
            <w:rStyle w:val="Hipercze"/>
            <w:rFonts w:ascii="Arial" w:hAnsi="Arial" w:cs="Arial"/>
            <w:color w:val="auto"/>
            <w:u w:val="none"/>
            <w:shd w:val="clear" w:color="auto" w:fill="FFFFFF"/>
            <w:lang w:val="en-US"/>
          </w:rPr>
          <w:t>.</w:t>
        </w:r>
      </w:hyperlink>
      <w:r w:rsidRPr="005F2E96">
        <w:rPr>
          <w:rStyle w:val="Nagwek3Znak"/>
          <w:rFonts w:eastAsiaTheme="minorHAnsi"/>
          <w:shd w:val="clear" w:color="auto" w:fill="FFFFFF"/>
          <w:lang w:val="en-US"/>
        </w:rPr>
        <w:t xml:space="preserve"> </w:t>
      </w:r>
      <w:proofErr w:type="spellStart"/>
      <w:r w:rsidRPr="001B5BE5">
        <w:rPr>
          <w:rStyle w:val="jrnl"/>
          <w:rFonts w:ascii="Arial" w:hAnsi="Arial" w:cs="Arial"/>
          <w:shd w:val="clear" w:color="auto" w:fill="FFFFFF"/>
          <w:lang w:val="en-US"/>
        </w:rPr>
        <w:t>Kardiol</w:t>
      </w:r>
      <w:proofErr w:type="spellEnd"/>
      <w:r w:rsidRPr="001B5BE5">
        <w:rPr>
          <w:rStyle w:val="jrnl"/>
          <w:rFonts w:ascii="Arial" w:hAnsi="Arial" w:cs="Arial"/>
          <w:shd w:val="clear" w:color="auto" w:fill="FFFFFF"/>
          <w:lang w:val="en-US"/>
        </w:rPr>
        <w:t xml:space="preserve"> Pol</w:t>
      </w:r>
      <w:r w:rsidRPr="001B5BE5">
        <w:rPr>
          <w:rFonts w:ascii="Arial" w:hAnsi="Arial" w:cs="Arial"/>
          <w:shd w:val="clear" w:color="auto" w:fill="FFFFFF"/>
          <w:lang w:val="en-US"/>
        </w:rPr>
        <w:t xml:space="preserve">. 2017;75(11):1192-1198. </w:t>
      </w:r>
      <w:proofErr w:type="spellStart"/>
      <w:r w:rsidRPr="001B5BE5">
        <w:rPr>
          <w:rFonts w:ascii="Arial" w:hAnsi="Arial" w:cs="Arial"/>
          <w:shd w:val="clear" w:color="auto" w:fill="FFFFFF"/>
          <w:lang w:val="en-US"/>
        </w:rPr>
        <w:t>doi</w:t>
      </w:r>
      <w:proofErr w:type="spellEnd"/>
      <w:r w:rsidRPr="001B5BE5">
        <w:rPr>
          <w:rFonts w:ascii="Arial" w:hAnsi="Arial" w:cs="Arial"/>
          <w:shd w:val="clear" w:color="auto" w:fill="FFFFFF"/>
          <w:lang w:val="en-US"/>
        </w:rPr>
        <w:t>: 10.5603/KP.a2017.0147</w:t>
      </w:r>
    </w:p>
    <w:p w:rsidR="00150B2E" w:rsidRPr="00A03E0A" w:rsidRDefault="00150B2E" w:rsidP="00082450">
      <w:pPr>
        <w:rPr>
          <w:rFonts w:ascii="Arial" w:hAnsi="Arial" w:cs="Arial"/>
          <w:lang w:val="en-US"/>
        </w:rPr>
      </w:pPr>
      <w:proofErr w:type="spellStart"/>
      <w:r w:rsidRPr="00A03E0A">
        <w:rPr>
          <w:rFonts w:ascii="Arial" w:hAnsi="Arial" w:cs="Arial"/>
          <w:lang w:val="en-US"/>
        </w:rPr>
        <w:lastRenderedPageBreak/>
        <w:t>Rak</w:t>
      </w:r>
      <w:proofErr w:type="spellEnd"/>
      <w:r w:rsidRPr="00A03E0A">
        <w:rPr>
          <w:rFonts w:ascii="Arial" w:hAnsi="Arial" w:cs="Arial"/>
          <w:lang w:val="en-US"/>
        </w:rPr>
        <w:t xml:space="preserve"> B, </w:t>
      </w:r>
      <w:proofErr w:type="spellStart"/>
      <w:r w:rsidRPr="00A03E0A">
        <w:rPr>
          <w:rFonts w:ascii="Arial" w:hAnsi="Arial" w:cs="Arial"/>
          <w:bCs/>
          <w:u w:val="single"/>
          <w:lang w:val="en-US"/>
        </w:rPr>
        <w:t>Brodzińska</w:t>
      </w:r>
      <w:proofErr w:type="spellEnd"/>
      <w:r w:rsidRPr="00A03E0A">
        <w:rPr>
          <w:rFonts w:ascii="Arial" w:hAnsi="Arial" w:cs="Arial"/>
          <w:bCs/>
          <w:u w:val="single"/>
          <w:lang w:val="en-US"/>
        </w:rPr>
        <w:t xml:space="preserve"> K</w:t>
      </w:r>
      <w:r w:rsidRPr="00A03E0A">
        <w:rPr>
          <w:rFonts w:ascii="Arial" w:hAnsi="Arial" w:cs="Arial"/>
          <w:lang w:val="en-US"/>
        </w:rPr>
        <w:t xml:space="preserve">, </w:t>
      </w:r>
      <w:proofErr w:type="spellStart"/>
      <w:r w:rsidRPr="00A03E0A">
        <w:rPr>
          <w:rFonts w:ascii="Arial" w:hAnsi="Arial" w:cs="Arial"/>
          <w:lang w:val="en-US"/>
        </w:rPr>
        <w:t>Kępczyńska-Nyk</w:t>
      </w:r>
      <w:proofErr w:type="spellEnd"/>
      <w:r w:rsidRPr="00A03E0A">
        <w:rPr>
          <w:rFonts w:ascii="Arial" w:hAnsi="Arial" w:cs="Arial"/>
          <w:lang w:val="en-US"/>
        </w:rPr>
        <w:t xml:space="preserve"> A, </w:t>
      </w:r>
      <w:proofErr w:type="spellStart"/>
      <w:r w:rsidRPr="00A03E0A">
        <w:rPr>
          <w:rFonts w:ascii="Arial" w:hAnsi="Arial" w:cs="Arial"/>
          <w:b/>
          <w:lang w:val="en-US"/>
        </w:rPr>
        <w:t>Ambroziak</w:t>
      </w:r>
      <w:proofErr w:type="spellEnd"/>
      <w:r w:rsidRPr="00A03E0A">
        <w:rPr>
          <w:rFonts w:ascii="Arial" w:hAnsi="Arial" w:cs="Arial"/>
          <w:b/>
          <w:lang w:val="en-US"/>
        </w:rPr>
        <w:t xml:space="preserve"> U</w:t>
      </w:r>
      <w:r>
        <w:rPr>
          <w:rFonts w:ascii="Arial" w:hAnsi="Arial" w:cs="Arial"/>
          <w:b/>
          <w:lang w:val="en-US"/>
        </w:rPr>
        <w:t>.</w:t>
      </w:r>
      <w:r w:rsidRPr="00A03E0A">
        <w:rPr>
          <w:rFonts w:ascii="Arial" w:hAnsi="Arial" w:cs="Arial"/>
          <w:iCs/>
          <w:lang w:val="en-US"/>
        </w:rPr>
        <w:t xml:space="preserve"> 60-Year-Old Man with </w:t>
      </w:r>
      <w:proofErr w:type="spellStart"/>
      <w:r w:rsidRPr="00A03E0A">
        <w:rPr>
          <w:rFonts w:ascii="Arial" w:hAnsi="Arial" w:cs="Arial"/>
          <w:iCs/>
          <w:lang w:val="en-US"/>
        </w:rPr>
        <w:t>Pheochromocytoma</w:t>
      </w:r>
      <w:proofErr w:type="spellEnd"/>
      <w:r w:rsidRPr="00A03E0A">
        <w:rPr>
          <w:rFonts w:ascii="Arial" w:hAnsi="Arial" w:cs="Arial"/>
          <w:iCs/>
          <w:lang w:val="en-US"/>
        </w:rPr>
        <w:t xml:space="preserve"> and Clinical Picture of Depression.</w:t>
      </w:r>
      <w:r>
        <w:rPr>
          <w:rFonts w:ascii="Arial" w:hAnsi="Arial" w:cs="Arial"/>
          <w:lang w:val="en-US"/>
        </w:rPr>
        <w:t xml:space="preserve"> </w:t>
      </w:r>
      <w:proofErr w:type="spellStart"/>
      <w:r w:rsidRPr="00A03E0A">
        <w:rPr>
          <w:rFonts w:ascii="Arial" w:hAnsi="Arial" w:cs="Arial"/>
          <w:lang w:val="en-US"/>
        </w:rPr>
        <w:t>In</w:t>
      </w:r>
      <w:r>
        <w:rPr>
          <w:rFonts w:ascii="Arial" w:hAnsi="Arial" w:cs="Arial"/>
          <w:lang w:val="en-US"/>
        </w:rPr>
        <w:t>t</w:t>
      </w:r>
      <w:proofErr w:type="spellEnd"/>
      <w:r>
        <w:rPr>
          <w:rFonts w:ascii="Arial" w:hAnsi="Arial" w:cs="Arial"/>
          <w:lang w:val="en-US"/>
        </w:rPr>
        <w:t xml:space="preserve"> J </w:t>
      </w:r>
      <w:proofErr w:type="spellStart"/>
      <w:r>
        <w:rPr>
          <w:rFonts w:ascii="Arial" w:hAnsi="Arial" w:cs="Arial"/>
          <w:lang w:val="en-US"/>
        </w:rPr>
        <w:t>Clin</w:t>
      </w:r>
      <w:proofErr w:type="spellEnd"/>
      <w:r>
        <w:rPr>
          <w:rFonts w:ascii="Arial" w:hAnsi="Arial" w:cs="Arial"/>
          <w:lang w:val="en-US"/>
        </w:rPr>
        <w:t xml:space="preserve"> </w:t>
      </w:r>
      <w:proofErr w:type="spellStart"/>
      <w:r>
        <w:rPr>
          <w:rFonts w:ascii="Arial" w:hAnsi="Arial" w:cs="Arial"/>
          <w:lang w:val="en-US"/>
        </w:rPr>
        <w:t>Endocrinol</w:t>
      </w:r>
      <w:proofErr w:type="spellEnd"/>
      <w:r>
        <w:rPr>
          <w:rFonts w:ascii="Arial" w:hAnsi="Arial" w:cs="Arial"/>
          <w:lang w:val="en-US"/>
        </w:rPr>
        <w:t xml:space="preserve"> </w:t>
      </w:r>
      <w:proofErr w:type="spellStart"/>
      <w:r>
        <w:rPr>
          <w:rFonts w:ascii="Arial" w:hAnsi="Arial" w:cs="Arial"/>
          <w:lang w:val="en-US"/>
        </w:rPr>
        <w:t>Metab</w:t>
      </w:r>
      <w:proofErr w:type="spellEnd"/>
      <w:r>
        <w:rPr>
          <w:rFonts w:ascii="Arial" w:hAnsi="Arial" w:cs="Arial"/>
          <w:lang w:val="en-US"/>
        </w:rPr>
        <w:t xml:space="preserve"> 2016; 2(1): </w:t>
      </w:r>
      <w:r w:rsidRPr="00A03E0A">
        <w:rPr>
          <w:rFonts w:ascii="Arial" w:hAnsi="Arial" w:cs="Arial"/>
          <w:lang w:val="en-US"/>
        </w:rPr>
        <w:t>016-018.</w:t>
      </w:r>
    </w:p>
    <w:p w:rsidR="00150B2E" w:rsidRPr="001B5BE5" w:rsidRDefault="00150B2E" w:rsidP="00082450">
      <w:pPr>
        <w:rPr>
          <w:rFonts w:ascii="Arial" w:hAnsi="Arial" w:cs="Arial"/>
        </w:rPr>
      </w:pPr>
      <w:r w:rsidRPr="001B5BE5">
        <w:rPr>
          <w:rFonts w:ascii="Arial" w:hAnsi="Arial" w:cs="Arial"/>
          <w:u w:val="single"/>
          <w:lang w:val="cs-CZ"/>
        </w:rPr>
        <w:t>Zawadzka-Leska SK, Radziszewski M, Malec K</w:t>
      </w:r>
      <w:r w:rsidRPr="001B5BE5">
        <w:rPr>
          <w:rFonts w:ascii="Arial" w:hAnsi="Arial" w:cs="Arial"/>
          <w:lang w:val="cs-CZ"/>
        </w:rPr>
        <w:t xml:space="preserve">, Stadnik A, </w:t>
      </w:r>
      <w:r w:rsidRPr="001B5BE5">
        <w:rPr>
          <w:rFonts w:ascii="Arial" w:hAnsi="Arial" w:cs="Arial"/>
          <w:b/>
          <w:lang w:val="cs-CZ"/>
        </w:rPr>
        <w:t>Ambroziak U.</w:t>
      </w:r>
      <w:r w:rsidRPr="001B5BE5">
        <w:rPr>
          <w:rFonts w:ascii="Arial" w:hAnsi="Arial" w:cs="Arial"/>
          <w:bCs/>
          <w:color w:val="000000"/>
          <w:shd w:val="clear" w:color="auto" w:fill="FFFFFF"/>
          <w:lang w:val="cs-CZ"/>
        </w:rPr>
        <w:t xml:space="preserve"> Predictive value of chromogranin A in a diagnosis towards</w:t>
      </w:r>
      <w:r w:rsidRPr="001B5BE5">
        <w:rPr>
          <w:rFonts w:ascii="Arial" w:hAnsi="Arial" w:cs="Arial"/>
          <w:lang w:val="cs-CZ"/>
        </w:rPr>
        <w:t xml:space="preserve">. </w:t>
      </w:r>
      <w:r w:rsidRPr="001B5BE5">
        <w:rPr>
          <w:rFonts w:ascii="Arial" w:hAnsi="Arial" w:cs="Arial"/>
          <w:bCs/>
          <w:color w:val="000000"/>
          <w:shd w:val="clear" w:color="auto" w:fill="FFFFFF"/>
          <w:lang w:val="cs-CZ"/>
        </w:rPr>
        <w:t xml:space="preserve">pheochromocytoma in adrenal incidentaloma. </w:t>
      </w:r>
      <w:r w:rsidRPr="001B5BE5">
        <w:rPr>
          <w:rFonts w:ascii="Arial" w:hAnsi="Arial" w:cs="Arial"/>
        </w:rPr>
        <w:t>Acta Endo (Buc) 2016 12(4): 437-442 doi: 10.4183/aeb.2016.437</w:t>
      </w:r>
    </w:p>
    <w:p w:rsidR="000B57DD" w:rsidRDefault="000B57DD" w:rsidP="00150B2E">
      <w:pPr>
        <w:spacing w:line="360" w:lineRule="auto"/>
        <w:jc w:val="both"/>
        <w:rPr>
          <w:rFonts w:ascii="Arial" w:hAnsi="Arial" w:cs="Arial"/>
          <w:lang w:val="cs-CZ"/>
        </w:rPr>
      </w:pPr>
    </w:p>
    <w:p w:rsidR="00150B2E" w:rsidRPr="00C9579C" w:rsidRDefault="00150B2E" w:rsidP="00150B2E">
      <w:pPr>
        <w:spacing w:line="360" w:lineRule="auto"/>
        <w:jc w:val="both"/>
        <w:rPr>
          <w:rFonts w:ascii="Arial" w:hAnsi="Arial" w:cs="Arial"/>
          <w:lang w:val="cs-CZ"/>
        </w:rPr>
      </w:pPr>
      <w:r>
        <w:rPr>
          <w:rFonts w:ascii="Arial" w:hAnsi="Arial" w:cs="Arial"/>
          <w:lang w:val="cs-CZ"/>
        </w:rPr>
        <w:t xml:space="preserve">W ramach pracy Koła studenci byli laureatami licznych nagród na konferencjach. Poniżej </w:t>
      </w:r>
      <w:r w:rsidRPr="00C9579C">
        <w:rPr>
          <w:rFonts w:ascii="Arial" w:hAnsi="Arial" w:cs="Arial"/>
          <w:lang w:val="cs-CZ"/>
        </w:rPr>
        <w:t xml:space="preserve">przedstawiam nagrodzone prace </w:t>
      </w:r>
      <w:r w:rsidR="00AD6AE8">
        <w:rPr>
          <w:rFonts w:ascii="Arial" w:hAnsi="Arial" w:cs="Arial"/>
          <w:lang w:val="cs-CZ"/>
        </w:rPr>
        <w:t>wykonane</w:t>
      </w:r>
      <w:r w:rsidRPr="00C9579C">
        <w:rPr>
          <w:rFonts w:ascii="Arial" w:hAnsi="Arial" w:cs="Arial"/>
          <w:lang w:val="cs-CZ"/>
        </w:rPr>
        <w:t xml:space="preserve"> pod moim </w:t>
      </w:r>
      <w:r w:rsidR="00186073">
        <w:rPr>
          <w:rFonts w:ascii="Arial" w:hAnsi="Arial" w:cs="Arial"/>
          <w:lang w:val="cs-CZ"/>
        </w:rPr>
        <w:t xml:space="preserve">bezpośrednim </w:t>
      </w:r>
      <w:r w:rsidRPr="00C9579C">
        <w:rPr>
          <w:rFonts w:ascii="Arial" w:hAnsi="Arial" w:cs="Arial"/>
          <w:lang w:val="cs-CZ"/>
        </w:rPr>
        <w:t>nadzorem:</w:t>
      </w:r>
    </w:p>
    <w:p w:rsidR="00150B2E" w:rsidRPr="00186073" w:rsidRDefault="00150B2E" w:rsidP="00150B2E">
      <w:pPr>
        <w:widowControl w:val="0"/>
        <w:tabs>
          <w:tab w:val="right" w:leader="dot" w:pos="14742"/>
        </w:tabs>
        <w:spacing w:after="0" w:line="360" w:lineRule="auto"/>
        <w:ind w:right="672"/>
        <w:jc w:val="both"/>
        <w:rPr>
          <w:rFonts w:ascii="Arial" w:hAnsi="Arial" w:cs="Arial"/>
          <w:lang w:val="cs-CZ"/>
        </w:rPr>
      </w:pPr>
    </w:p>
    <w:p w:rsidR="00150B2E" w:rsidRPr="00A23B5A" w:rsidRDefault="00150B2E" w:rsidP="00082450">
      <w:pPr>
        <w:widowControl w:val="0"/>
        <w:tabs>
          <w:tab w:val="right" w:leader="dot" w:pos="14742"/>
        </w:tabs>
        <w:spacing w:after="0" w:line="240" w:lineRule="auto"/>
        <w:ind w:right="675"/>
        <w:rPr>
          <w:rFonts w:ascii="Arial" w:hAnsi="Arial" w:cs="Arial"/>
          <w:lang w:val="en-US"/>
        </w:rPr>
      </w:pPr>
      <w:r w:rsidRPr="00C9579C">
        <w:rPr>
          <w:rFonts w:ascii="Arial" w:hAnsi="Arial" w:cs="Arial"/>
          <w:lang w:val="en-US"/>
        </w:rPr>
        <w:t>1</w:t>
      </w:r>
      <w:r w:rsidRPr="00C9579C">
        <w:rPr>
          <w:rFonts w:ascii="Arial" w:hAnsi="Arial" w:cs="Arial"/>
          <w:vertAlign w:val="superscript"/>
          <w:lang w:val="en-US"/>
        </w:rPr>
        <w:t>st</w:t>
      </w:r>
      <w:r w:rsidRPr="00C9579C">
        <w:rPr>
          <w:rFonts w:ascii="Arial" w:hAnsi="Arial" w:cs="Arial"/>
          <w:lang w:val="en-US"/>
        </w:rPr>
        <w:t xml:space="preserve"> Award of Endocrinology Session, Serum </w:t>
      </w:r>
      <w:proofErr w:type="spellStart"/>
      <w:r w:rsidRPr="00C9579C">
        <w:rPr>
          <w:rFonts w:ascii="Arial" w:hAnsi="Arial" w:cs="Arial"/>
          <w:lang w:val="en-US"/>
        </w:rPr>
        <w:t>cortisol</w:t>
      </w:r>
      <w:proofErr w:type="spellEnd"/>
      <w:r w:rsidRPr="00C9579C">
        <w:rPr>
          <w:rFonts w:ascii="Arial" w:hAnsi="Arial" w:cs="Arial"/>
          <w:lang w:val="en-US"/>
        </w:rPr>
        <w:t xml:space="preserve"> measurements are not helpful in assessment of </w:t>
      </w:r>
      <w:proofErr w:type="spellStart"/>
      <w:r w:rsidRPr="00C9579C">
        <w:rPr>
          <w:rFonts w:ascii="Arial" w:hAnsi="Arial" w:cs="Arial"/>
          <w:lang w:val="en-US"/>
        </w:rPr>
        <w:t>glucocorticoid</w:t>
      </w:r>
      <w:proofErr w:type="spellEnd"/>
      <w:r w:rsidRPr="00C9579C">
        <w:rPr>
          <w:rFonts w:ascii="Arial" w:hAnsi="Arial" w:cs="Arial"/>
          <w:lang w:val="en-US"/>
        </w:rPr>
        <w:t xml:space="preserve"> replacement in adrenal insufficiency, </w:t>
      </w:r>
      <w:proofErr w:type="spellStart"/>
      <w:r w:rsidRPr="00C9579C">
        <w:rPr>
          <w:rFonts w:ascii="Arial" w:hAnsi="Arial" w:cs="Arial"/>
          <w:lang w:val="en-US"/>
        </w:rPr>
        <w:t>Beata</w:t>
      </w:r>
      <w:proofErr w:type="spellEnd"/>
      <w:r w:rsidRPr="00C9579C">
        <w:rPr>
          <w:rFonts w:ascii="Arial" w:hAnsi="Arial" w:cs="Arial"/>
          <w:lang w:val="en-US"/>
        </w:rPr>
        <w:t xml:space="preserve"> </w:t>
      </w:r>
      <w:proofErr w:type="spellStart"/>
      <w:r w:rsidRPr="00C9579C">
        <w:rPr>
          <w:rFonts w:ascii="Arial" w:hAnsi="Arial" w:cs="Arial"/>
          <w:lang w:val="en-US"/>
        </w:rPr>
        <w:t>Szymańska</w:t>
      </w:r>
      <w:proofErr w:type="spellEnd"/>
      <w:r w:rsidRPr="00C9579C">
        <w:rPr>
          <w:rFonts w:ascii="Arial" w:hAnsi="Arial" w:cs="Arial"/>
          <w:lang w:val="en-US"/>
        </w:rPr>
        <w:t xml:space="preserve">, </w:t>
      </w:r>
      <w:proofErr w:type="spellStart"/>
      <w:r w:rsidRPr="00C9579C">
        <w:rPr>
          <w:rFonts w:ascii="Arial" w:hAnsi="Arial" w:cs="Arial"/>
          <w:lang w:val="en-US"/>
        </w:rPr>
        <w:t>Szymon</w:t>
      </w:r>
      <w:proofErr w:type="spellEnd"/>
      <w:r w:rsidRPr="00C9579C">
        <w:rPr>
          <w:rFonts w:ascii="Arial" w:hAnsi="Arial" w:cs="Arial"/>
          <w:lang w:val="en-US"/>
        </w:rPr>
        <w:t xml:space="preserve"> </w:t>
      </w:r>
      <w:proofErr w:type="spellStart"/>
      <w:r w:rsidRPr="00C9579C">
        <w:rPr>
          <w:rFonts w:ascii="Arial" w:hAnsi="Arial" w:cs="Arial"/>
          <w:lang w:val="en-US"/>
        </w:rPr>
        <w:t>Piątek</w:t>
      </w:r>
      <w:proofErr w:type="spellEnd"/>
      <w:r w:rsidRPr="00C9579C">
        <w:rPr>
          <w:rFonts w:ascii="Arial" w:hAnsi="Arial" w:cs="Arial"/>
          <w:lang w:val="en-US"/>
        </w:rPr>
        <w:t xml:space="preserve">, 7th Warsaw International Medical Congress, </w:t>
      </w:r>
      <w:r>
        <w:rPr>
          <w:rFonts w:ascii="Arial" w:hAnsi="Arial" w:cs="Arial"/>
          <w:lang w:val="en-US"/>
        </w:rPr>
        <w:t xml:space="preserve">2011, </w:t>
      </w:r>
      <w:r w:rsidRPr="00C9579C">
        <w:rPr>
          <w:rFonts w:ascii="Arial" w:hAnsi="Arial" w:cs="Arial"/>
          <w:lang w:val="en-US"/>
        </w:rPr>
        <w:t xml:space="preserve">Warszawa, </w:t>
      </w:r>
      <w:proofErr w:type="spellStart"/>
      <w:r w:rsidRPr="00C9579C">
        <w:rPr>
          <w:rFonts w:ascii="Arial" w:hAnsi="Arial" w:cs="Arial"/>
          <w:lang w:val="en-US"/>
        </w:rPr>
        <w:t>Polska</w:t>
      </w:r>
      <w:proofErr w:type="spellEnd"/>
      <w:r>
        <w:rPr>
          <w:rFonts w:ascii="Arial" w:hAnsi="Arial" w:cs="Arial"/>
          <w:lang w:val="en-US"/>
        </w:rPr>
        <w:t>.</w:t>
      </w:r>
    </w:p>
    <w:p w:rsidR="00150B2E" w:rsidRDefault="00150B2E" w:rsidP="00082450">
      <w:pPr>
        <w:widowControl w:val="0"/>
        <w:tabs>
          <w:tab w:val="right" w:leader="dot" w:pos="14742"/>
        </w:tabs>
        <w:spacing w:after="0" w:line="360" w:lineRule="auto"/>
        <w:ind w:right="672"/>
        <w:rPr>
          <w:rFonts w:ascii="Arial" w:eastAsia="Calibri" w:hAnsi="Arial" w:cs="Arial"/>
          <w:lang w:val="en-US"/>
        </w:rPr>
      </w:pPr>
    </w:p>
    <w:p w:rsidR="00150B2E" w:rsidRPr="00C9579C" w:rsidRDefault="00150B2E" w:rsidP="00082450">
      <w:pPr>
        <w:widowControl w:val="0"/>
        <w:tabs>
          <w:tab w:val="right" w:leader="dot" w:pos="14742"/>
        </w:tabs>
        <w:spacing w:after="0" w:line="240" w:lineRule="auto"/>
        <w:ind w:right="675"/>
        <w:rPr>
          <w:rFonts w:ascii="Arial" w:hAnsi="Arial" w:cs="Arial"/>
          <w:lang w:val="en-US"/>
        </w:rPr>
      </w:pPr>
      <w:r w:rsidRPr="00C9579C">
        <w:rPr>
          <w:rFonts w:ascii="Arial" w:hAnsi="Arial" w:cs="Arial"/>
          <w:lang w:val="en-US"/>
        </w:rPr>
        <w:t>1</w:t>
      </w:r>
      <w:r w:rsidRPr="00C9579C">
        <w:rPr>
          <w:rFonts w:ascii="Arial" w:hAnsi="Arial" w:cs="Arial"/>
          <w:vertAlign w:val="superscript"/>
          <w:lang w:val="en-US"/>
        </w:rPr>
        <w:t>st</w:t>
      </w:r>
      <w:r w:rsidRPr="00C9579C">
        <w:rPr>
          <w:rFonts w:ascii="Arial" w:hAnsi="Arial" w:cs="Arial"/>
          <w:lang w:val="en-US"/>
        </w:rPr>
        <w:t xml:space="preserve"> Award of Endocrinology &amp; Diabetes Session, </w:t>
      </w:r>
      <w:r w:rsidRPr="00C9579C">
        <w:rPr>
          <w:rFonts w:ascii="Arial" w:hAnsi="Arial" w:cs="Arial"/>
          <w:szCs w:val="20"/>
          <w:lang w:val="en-US"/>
        </w:rPr>
        <w:t xml:space="preserve">Degree of TSH suppression as an indicator of </w:t>
      </w:r>
      <w:proofErr w:type="spellStart"/>
      <w:r w:rsidRPr="00C9579C">
        <w:rPr>
          <w:rFonts w:ascii="Arial" w:hAnsi="Arial" w:cs="Arial"/>
          <w:szCs w:val="20"/>
          <w:lang w:val="en-US"/>
        </w:rPr>
        <w:t>thyrotoxicosis</w:t>
      </w:r>
      <w:proofErr w:type="spellEnd"/>
      <w:r w:rsidRPr="00C9579C">
        <w:rPr>
          <w:rFonts w:ascii="Arial" w:hAnsi="Arial" w:cs="Arial"/>
          <w:szCs w:val="20"/>
          <w:lang w:val="en-US"/>
        </w:rPr>
        <w:t xml:space="preserve"> cause in patients with chronic hepatitis C during interferon alpha therapy</w:t>
      </w:r>
      <w:r w:rsidRPr="00C9579C">
        <w:rPr>
          <w:rFonts w:ascii="Arial" w:hAnsi="Arial" w:cs="Arial"/>
          <w:lang w:val="en-US"/>
        </w:rPr>
        <w:t xml:space="preserve">, Natalia </w:t>
      </w:r>
      <w:proofErr w:type="spellStart"/>
      <w:r w:rsidRPr="00C9579C">
        <w:rPr>
          <w:rFonts w:ascii="Arial" w:hAnsi="Arial" w:cs="Arial"/>
          <w:lang w:val="en-US"/>
        </w:rPr>
        <w:t>Przysucha</w:t>
      </w:r>
      <w:proofErr w:type="spellEnd"/>
      <w:r w:rsidRPr="00C9579C">
        <w:rPr>
          <w:rFonts w:ascii="Arial" w:hAnsi="Arial" w:cs="Arial"/>
          <w:lang w:val="en-US"/>
        </w:rPr>
        <w:t xml:space="preserve">, </w:t>
      </w:r>
      <w:proofErr w:type="spellStart"/>
      <w:r w:rsidRPr="00C9579C">
        <w:rPr>
          <w:rFonts w:ascii="Arial" w:hAnsi="Arial" w:cs="Arial"/>
          <w:lang w:val="en-US"/>
        </w:rPr>
        <w:t>Beata</w:t>
      </w:r>
      <w:proofErr w:type="spellEnd"/>
      <w:r w:rsidRPr="00C9579C">
        <w:rPr>
          <w:rFonts w:ascii="Arial" w:hAnsi="Arial" w:cs="Arial"/>
          <w:lang w:val="en-US"/>
        </w:rPr>
        <w:t xml:space="preserve"> </w:t>
      </w:r>
      <w:proofErr w:type="spellStart"/>
      <w:r w:rsidRPr="00C9579C">
        <w:rPr>
          <w:rFonts w:ascii="Arial" w:hAnsi="Arial" w:cs="Arial"/>
          <w:lang w:val="en-US"/>
        </w:rPr>
        <w:t>Rak</w:t>
      </w:r>
      <w:proofErr w:type="spellEnd"/>
      <w:r w:rsidRPr="00C9579C">
        <w:rPr>
          <w:rFonts w:ascii="Arial" w:hAnsi="Arial" w:cs="Arial"/>
          <w:lang w:val="en-US"/>
        </w:rPr>
        <w:t>, 8th Warsaw Internation</w:t>
      </w:r>
      <w:r>
        <w:rPr>
          <w:rFonts w:ascii="Arial" w:hAnsi="Arial" w:cs="Arial"/>
          <w:lang w:val="en-US"/>
        </w:rPr>
        <w:t xml:space="preserve">al Medical Congress, </w:t>
      </w:r>
      <w:r w:rsidRPr="00C9579C">
        <w:rPr>
          <w:rFonts w:ascii="Arial" w:hAnsi="Arial" w:cs="Arial"/>
          <w:lang w:val="en-US"/>
        </w:rPr>
        <w:t xml:space="preserve">2012, Warszawa, </w:t>
      </w:r>
      <w:proofErr w:type="spellStart"/>
      <w:r w:rsidRPr="00C9579C">
        <w:rPr>
          <w:rFonts w:ascii="Arial" w:hAnsi="Arial" w:cs="Arial"/>
          <w:lang w:val="en-US"/>
        </w:rPr>
        <w:t>Polska</w:t>
      </w:r>
      <w:proofErr w:type="spellEnd"/>
      <w:r>
        <w:rPr>
          <w:rFonts w:ascii="Arial" w:hAnsi="Arial" w:cs="Arial"/>
          <w:lang w:val="en-US"/>
        </w:rPr>
        <w:t>.</w:t>
      </w:r>
    </w:p>
    <w:p w:rsidR="00150B2E" w:rsidRPr="00236846" w:rsidRDefault="00150B2E" w:rsidP="00082450">
      <w:pPr>
        <w:widowControl w:val="0"/>
        <w:tabs>
          <w:tab w:val="right" w:leader="dot" w:pos="14742"/>
        </w:tabs>
        <w:spacing w:after="0" w:line="240" w:lineRule="auto"/>
        <w:ind w:right="675"/>
        <w:rPr>
          <w:rFonts w:ascii="Arial" w:hAnsi="Arial" w:cs="Arial"/>
          <w:b/>
          <w:highlight w:val="yellow"/>
          <w:lang w:val="en-US"/>
        </w:rPr>
      </w:pPr>
    </w:p>
    <w:p w:rsidR="00150B2E" w:rsidRPr="002750DC" w:rsidRDefault="00150B2E" w:rsidP="00082450">
      <w:pPr>
        <w:widowControl w:val="0"/>
        <w:tabs>
          <w:tab w:val="right" w:leader="dot" w:pos="14742"/>
        </w:tabs>
        <w:spacing w:after="0" w:line="240" w:lineRule="auto"/>
        <w:ind w:right="675"/>
        <w:rPr>
          <w:rFonts w:ascii="Arial" w:hAnsi="Arial" w:cs="Arial"/>
          <w:lang w:val="en-US"/>
        </w:rPr>
      </w:pPr>
      <w:r w:rsidRPr="002750DC">
        <w:rPr>
          <w:rFonts w:ascii="Arial" w:hAnsi="Arial" w:cs="Arial"/>
          <w:lang w:val="en-US"/>
        </w:rPr>
        <w:t>2</w:t>
      </w:r>
      <w:r w:rsidRPr="002750DC">
        <w:rPr>
          <w:rFonts w:ascii="Arial" w:hAnsi="Arial" w:cs="Arial"/>
          <w:vertAlign w:val="superscript"/>
          <w:lang w:val="en-US"/>
        </w:rPr>
        <w:t>nd</w:t>
      </w:r>
      <w:r w:rsidRPr="002750DC">
        <w:rPr>
          <w:rFonts w:ascii="Arial" w:hAnsi="Arial" w:cs="Arial"/>
          <w:lang w:val="en-US"/>
        </w:rPr>
        <w:t xml:space="preserve"> Award of Endocrinology &amp; Diabetes Session, </w:t>
      </w:r>
      <w:r w:rsidRPr="002750DC">
        <w:rPr>
          <w:rFonts w:ascii="Arial" w:hAnsi="Arial" w:cs="Arial"/>
          <w:szCs w:val="20"/>
          <w:lang w:val="en-US"/>
        </w:rPr>
        <w:t xml:space="preserve">When it is justified to start diagnosis of </w:t>
      </w:r>
      <w:proofErr w:type="spellStart"/>
      <w:r w:rsidRPr="002750DC">
        <w:rPr>
          <w:rFonts w:ascii="Arial" w:hAnsi="Arial" w:cs="Arial"/>
          <w:szCs w:val="20"/>
          <w:lang w:val="en-US"/>
        </w:rPr>
        <w:t>neuroendocrine</w:t>
      </w:r>
      <w:proofErr w:type="spellEnd"/>
      <w:r w:rsidRPr="002750DC">
        <w:rPr>
          <w:rFonts w:ascii="Arial" w:hAnsi="Arial" w:cs="Arial"/>
          <w:szCs w:val="20"/>
          <w:lang w:val="en-US"/>
        </w:rPr>
        <w:t xml:space="preserve"> </w:t>
      </w:r>
      <w:proofErr w:type="spellStart"/>
      <w:r w:rsidRPr="002750DC">
        <w:rPr>
          <w:rFonts w:ascii="Arial" w:hAnsi="Arial" w:cs="Arial"/>
          <w:szCs w:val="20"/>
          <w:lang w:val="en-US"/>
        </w:rPr>
        <w:t>tumours</w:t>
      </w:r>
      <w:proofErr w:type="spellEnd"/>
      <w:r w:rsidRPr="002750DC">
        <w:rPr>
          <w:rFonts w:ascii="Arial" w:hAnsi="Arial" w:cs="Arial"/>
          <w:szCs w:val="20"/>
          <w:lang w:val="en-US"/>
        </w:rPr>
        <w:t xml:space="preserve"> in patients with symptoms of </w:t>
      </w:r>
      <w:proofErr w:type="spellStart"/>
      <w:r w:rsidRPr="002750DC">
        <w:rPr>
          <w:rFonts w:ascii="Arial" w:hAnsi="Arial" w:cs="Arial"/>
          <w:szCs w:val="20"/>
          <w:lang w:val="en-US"/>
        </w:rPr>
        <w:t>carcinoid</w:t>
      </w:r>
      <w:proofErr w:type="spellEnd"/>
      <w:r w:rsidRPr="002750DC">
        <w:rPr>
          <w:rFonts w:ascii="Arial" w:hAnsi="Arial" w:cs="Arial"/>
          <w:szCs w:val="20"/>
          <w:lang w:val="en-US"/>
        </w:rPr>
        <w:t xml:space="preserve"> syndrome?</w:t>
      </w:r>
      <w:r w:rsidRPr="002750DC">
        <w:rPr>
          <w:rFonts w:ascii="Arial" w:hAnsi="Arial" w:cs="Arial"/>
          <w:lang w:val="en-US"/>
        </w:rPr>
        <w:t xml:space="preserve">, Mateusz </w:t>
      </w:r>
      <w:proofErr w:type="spellStart"/>
      <w:r w:rsidRPr="002750DC">
        <w:rPr>
          <w:rFonts w:ascii="Arial" w:hAnsi="Arial" w:cs="Arial"/>
          <w:lang w:val="en-US"/>
        </w:rPr>
        <w:t>Klukowski</w:t>
      </w:r>
      <w:proofErr w:type="spellEnd"/>
      <w:r w:rsidRPr="002750DC">
        <w:rPr>
          <w:rFonts w:ascii="Arial" w:hAnsi="Arial" w:cs="Arial"/>
          <w:lang w:val="en-US"/>
        </w:rPr>
        <w:t xml:space="preserve">, </w:t>
      </w:r>
      <w:proofErr w:type="spellStart"/>
      <w:r w:rsidRPr="002750DC">
        <w:rPr>
          <w:rFonts w:ascii="Arial" w:hAnsi="Arial" w:cs="Arial"/>
          <w:lang w:val="en-US"/>
        </w:rPr>
        <w:t>Aleksander</w:t>
      </w:r>
      <w:proofErr w:type="spellEnd"/>
      <w:r w:rsidRPr="002750DC">
        <w:rPr>
          <w:rFonts w:ascii="Arial" w:hAnsi="Arial" w:cs="Arial"/>
          <w:lang w:val="en-US"/>
        </w:rPr>
        <w:t xml:space="preserve"> </w:t>
      </w:r>
      <w:proofErr w:type="spellStart"/>
      <w:r w:rsidRPr="002750DC">
        <w:rPr>
          <w:rFonts w:ascii="Arial" w:hAnsi="Arial" w:cs="Arial"/>
          <w:lang w:val="en-US"/>
        </w:rPr>
        <w:t>Kuś</w:t>
      </w:r>
      <w:proofErr w:type="spellEnd"/>
      <w:r w:rsidRPr="002750DC">
        <w:rPr>
          <w:rFonts w:ascii="Arial" w:hAnsi="Arial" w:cs="Arial"/>
          <w:lang w:val="en-US"/>
        </w:rPr>
        <w:t xml:space="preserve">, </w:t>
      </w:r>
      <w:proofErr w:type="spellStart"/>
      <w:r w:rsidRPr="002750DC">
        <w:rPr>
          <w:rFonts w:ascii="Arial" w:hAnsi="Arial" w:cs="Arial"/>
          <w:lang w:val="en-US"/>
        </w:rPr>
        <w:t>Katarzyna</w:t>
      </w:r>
      <w:proofErr w:type="spellEnd"/>
      <w:r w:rsidRPr="002750DC">
        <w:rPr>
          <w:rFonts w:ascii="Arial" w:hAnsi="Arial" w:cs="Arial"/>
          <w:lang w:val="en-US"/>
        </w:rPr>
        <w:t xml:space="preserve"> </w:t>
      </w:r>
      <w:proofErr w:type="spellStart"/>
      <w:r w:rsidRPr="002750DC">
        <w:rPr>
          <w:rFonts w:ascii="Arial" w:hAnsi="Arial" w:cs="Arial"/>
          <w:lang w:val="en-US"/>
        </w:rPr>
        <w:t>Dźwiarek</w:t>
      </w:r>
      <w:proofErr w:type="spellEnd"/>
      <w:r w:rsidRPr="002750DC">
        <w:rPr>
          <w:rFonts w:ascii="Arial" w:hAnsi="Arial" w:cs="Arial"/>
          <w:lang w:val="en-US"/>
        </w:rPr>
        <w:t xml:space="preserve">, 8th Warsaw International Medical Congress, 2012, Warszawa, </w:t>
      </w:r>
      <w:proofErr w:type="spellStart"/>
      <w:r w:rsidRPr="002750DC">
        <w:rPr>
          <w:rFonts w:ascii="Arial" w:hAnsi="Arial" w:cs="Arial"/>
          <w:lang w:val="en-US"/>
        </w:rPr>
        <w:t>Polska</w:t>
      </w:r>
      <w:proofErr w:type="spellEnd"/>
    </w:p>
    <w:p w:rsidR="00150B2E" w:rsidRPr="00236846" w:rsidRDefault="00150B2E" w:rsidP="00082450">
      <w:pPr>
        <w:widowControl w:val="0"/>
        <w:tabs>
          <w:tab w:val="right" w:leader="dot" w:pos="14742"/>
        </w:tabs>
        <w:spacing w:after="0" w:line="240" w:lineRule="auto"/>
        <w:ind w:right="675"/>
        <w:rPr>
          <w:rFonts w:ascii="Arial" w:hAnsi="Arial" w:cs="Arial"/>
          <w:b/>
          <w:highlight w:val="yellow"/>
          <w:lang w:val="en-US"/>
        </w:rPr>
      </w:pPr>
    </w:p>
    <w:p w:rsidR="00150B2E" w:rsidRPr="002750DC" w:rsidRDefault="00150B2E" w:rsidP="00082450">
      <w:pPr>
        <w:widowControl w:val="0"/>
        <w:tabs>
          <w:tab w:val="right" w:leader="dot" w:pos="14742"/>
        </w:tabs>
        <w:spacing w:after="0" w:line="240" w:lineRule="auto"/>
        <w:ind w:right="675"/>
        <w:rPr>
          <w:rFonts w:ascii="Arial" w:hAnsi="Arial" w:cs="Arial"/>
          <w:lang w:val="en-US"/>
        </w:rPr>
      </w:pPr>
      <w:r w:rsidRPr="002750DC">
        <w:rPr>
          <w:rFonts w:ascii="Arial" w:hAnsi="Arial" w:cs="Arial"/>
          <w:lang w:val="en-US"/>
        </w:rPr>
        <w:t xml:space="preserve">Special Award of Endocrinology &amp; Diabetes Session, Patients’ satisfaction questionnaires- the tool to improve a quality of medical care?, </w:t>
      </w:r>
      <w:proofErr w:type="spellStart"/>
      <w:r w:rsidRPr="002750DC">
        <w:rPr>
          <w:rFonts w:ascii="Arial" w:hAnsi="Arial" w:cs="Arial"/>
          <w:lang w:val="en-US"/>
        </w:rPr>
        <w:t>Ewelina</w:t>
      </w:r>
      <w:proofErr w:type="spellEnd"/>
      <w:r w:rsidRPr="002750DC">
        <w:rPr>
          <w:rFonts w:ascii="Arial" w:hAnsi="Arial" w:cs="Arial"/>
          <w:lang w:val="en-US"/>
        </w:rPr>
        <w:t xml:space="preserve"> </w:t>
      </w:r>
      <w:proofErr w:type="spellStart"/>
      <w:r w:rsidRPr="002750DC">
        <w:rPr>
          <w:rFonts w:ascii="Arial" w:hAnsi="Arial" w:cs="Arial"/>
          <w:lang w:val="en-US"/>
        </w:rPr>
        <w:t>Duraj</w:t>
      </w:r>
      <w:proofErr w:type="spellEnd"/>
      <w:r w:rsidRPr="002750DC">
        <w:rPr>
          <w:rFonts w:ascii="Arial" w:hAnsi="Arial" w:cs="Arial"/>
          <w:lang w:val="en-US"/>
        </w:rPr>
        <w:t xml:space="preserve">, </w:t>
      </w:r>
      <w:proofErr w:type="spellStart"/>
      <w:r w:rsidRPr="002750DC">
        <w:rPr>
          <w:rFonts w:ascii="Arial" w:hAnsi="Arial" w:cs="Arial"/>
          <w:lang w:val="en-US"/>
        </w:rPr>
        <w:t>Katarzyna</w:t>
      </w:r>
      <w:proofErr w:type="spellEnd"/>
      <w:r w:rsidRPr="002750DC">
        <w:rPr>
          <w:rFonts w:ascii="Arial" w:hAnsi="Arial" w:cs="Arial"/>
          <w:lang w:val="en-US"/>
        </w:rPr>
        <w:t xml:space="preserve"> </w:t>
      </w:r>
      <w:proofErr w:type="spellStart"/>
      <w:r w:rsidRPr="002750DC">
        <w:rPr>
          <w:rFonts w:ascii="Arial" w:hAnsi="Arial" w:cs="Arial"/>
          <w:lang w:val="en-US"/>
        </w:rPr>
        <w:t>Dojlidko</w:t>
      </w:r>
      <w:proofErr w:type="spellEnd"/>
      <w:r w:rsidRPr="002750DC">
        <w:rPr>
          <w:rFonts w:ascii="Arial" w:hAnsi="Arial" w:cs="Arial"/>
          <w:lang w:val="en-US"/>
        </w:rPr>
        <w:t xml:space="preserve">, </w:t>
      </w:r>
      <w:proofErr w:type="spellStart"/>
      <w:r w:rsidRPr="002750DC">
        <w:rPr>
          <w:rFonts w:ascii="Arial" w:hAnsi="Arial" w:cs="Arial"/>
          <w:lang w:val="en-US"/>
        </w:rPr>
        <w:t>Dorota</w:t>
      </w:r>
      <w:proofErr w:type="spellEnd"/>
      <w:r w:rsidRPr="002750DC">
        <w:rPr>
          <w:rFonts w:ascii="Arial" w:hAnsi="Arial" w:cs="Arial"/>
          <w:lang w:val="en-US"/>
        </w:rPr>
        <w:t xml:space="preserve"> </w:t>
      </w:r>
      <w:proofErr w:type="spellStart"/>
      <w:r w:rsidRPr="002750DC">
        <w:rPr>
          <w:rFonts w:ascii="Arial" w:hAnsi="Arial" w:cs="Arial"/>
          <w:lang w:val="en-US"/>
        </w:rPr>
        <w:t>Kaczmarska-Turek</w:t>
      </w:r>
      <w:proofErr w:type="spellEnd"/>
      <w:r w:rsidRPr="002750DC">
        <w:rPr>
          <w:rFonts w:ascii="Arial" w:hAnsi="Arial" w:cs="Arial"/>
          <w:lang w:val="en-US"/>
        </w:rPr>
        <w:t xml:space="preserve">, </w:t>
      </w:r>
      <w:proofErr w:type="spellStart"/>
      <w:r w:rsidRPr="002750DC">
        <w:rPr>
          <w:rFonts w:ascii="Arial" w:hAnsi="Arial" w:cs="Arial"/>
          <w:lang w:val="en-US"/>
        </w:rPr>
        <w:t>Michał</w:t>
      </w:r>
      <w:proofErr w:type="spellEnd"/>
      <w:r w:rsidRPr="002750DC">
        <w:rPr>
          <w:rFonts w:ascii="Arial" w:hAnsi="Arial" w:cs="Arial"/>
          <w:lang w:val="en-US"/>
        </w:rPr>
        <w:t xml:space="preserve"> </w:t>
      </w:r>
      <w:proofErr w:type="spellStart"/>
      <w:r w:rsidRPr="002750DC">
        <w:rPr>
          <w:rFonts w:ascii="Arial" w:hAnsi="Arial" w:cs="Arial"/>
          <w:lang w:val="en-US"/>
        </w:rPr>
        <w:t>Wróbel</w:t>
      </w:r>
      <w:proofErr w:type="spellEnd"/>
      <w:r w:rsidRPr="002750DC">
        <w:rPr>
          <w:rFonts w:ascii="Arial" w:hAnsi="Arial" w:cs="Arial"/>
          <w:lang w:val="en-US"/>
        </w:rPr>
        <w:t xml:space="preserve">, 8th Warsaw International Medical Congress, 2012, Warszawa, </w:t>
      </w:r>
      <w:proofErr w:type="spellStart"/>
      <w:r w:rsidRPr="002750DC">
        <w:rPr>
          <w:rFonts w:ascii="Arial" w:hAnsi="Arial" w:cs="Arial"/>
          <w:lang w:val="en-US"/>
        </w:rPr>
        <w:t>Polska</w:t>
      </w:r>
      <w:proofErr w:type="spellEnd"/>
    </w:p>
    <w:p w:rsidR="00150B2E" w:rsidRPr="002750DC" w:rsidRDefault="00150B2E" w:rsidP="00082450">
      <w:pPr>
        <w:widowControl w:val="0"/>
        <w:tabs>
          <w:tab w:val="right" w:leader="dot" w:pos="14742"/>
        </w:tabs>
        <w:spacing w:after="0" w:line="240" w:lineRule="auto"/>
        <w:ind w:right="675"/>
        <w:rPr>
          <w:rFonts w:ascii="Arial" w:hAnsi="Arial" w:cs="Arial"/>
          <w:b/>
          <w:lang w:val="en-US"/>
        </w:rPr>
      </w:pPr>
    </w:p>
    <w:p w:rsidR="00150B2E" w:rsidRPr="002750DC" w:rsidRDefault="00150B2E" w:rsidP="00082450">
      <w:pPr>
        <w:widowControl w:val="0"/>
        <w:tabs>
          <w:tab w:val="right" w:leader="dot" w:pos="14742"/>
        </w:tabs>
        <w:spacing w:after="0" w:line="240" w:lineRule="auto"/>
        <w:ind w:right="675"/>
        <w:rPr>
          <w:rFonts w:ascii="Arial" w:hAnsi="Arial" w:cs="Arial"/>
          <w:lang w:val="en-US"/>
        </w:rPr>
      </w:pPr>
      <w:r w:rsidRPr="002750DC">
        <w:rPr>
          <w:rFonts w:ascii="Arial" w:hAnsi="Arial" w:cs="Arial"/>
          <w:lang w:val="en-US"/>
        </w:rPr>
        <w:t>Special Award of Endocrinology &amp; Diabetes Session,</w:t>
      </w:r>
      <w:r w:rsidRPr="002750DC">
        <w:rPr>
          <w:rFonts w:ascii="Arial" w:hAnsi="Arial" w:cs="Arial"/>
          <w:szCs w:val="20"/>
          <w:lang w:val="en-US"/>
        </w:rPr>
        <w:t xml:space="preserve"> The use of non-specific biochemical markers in monitoring the course of </w:t>
      </w:r>
      <w:proofErr w:type="spellStart"/>
      <w:r w:rsidRPr="002750DC">
        <w:rPr>
          <w:rFonts w:ascii="Arial" w:hAnsi="Arial" w:cs="Arial"/>
          <w:szCs w:val="20"/>
          <w:lang w:val="en-US"/>
        </w:rPr>
        <w:t>Neuroendocrine</w:t>
      </w:r>
      <w:proofErr w:type="spellEnd"/>
      <w:r w:rsidRPr="002750DC">
        <w:rPr>
          <w:rFonts w:ascii="Arial" w:hAnsi="Arial" w:cs="Arial"/>
          <w:szCs w:val="20"/>
          <w:lang w:val="en-US"/>
        </w:rPr>
        <w:t xml:space="preserve"> Tumors, </w:t>
      </w:r>
      <w:proofErr w:type="spellStart"/>
      <w:r w:rsidRPr="002750DC">
        <w:rPr>
          <w:rFonts w:ascii="Arial" w:hAnsi="Arial" w:cs="Arial"/>
          <w:szCs w:val="20"/>
          <w:lang w:val="en-US"/>
        </w:rPr>
        <w:t>Marek</w:t>
      </w:r>
      <w:proofErr w:type="spellEnd"/>
      <w:r w:rsidRPr="002750DC">
        <w:rPr>
          <w:rFonts w:ascii="Arial" w:hAnsi="Arial" w:cs="Arial"/>
          <w:szCs w:val="20"/>
          <w:lang w:val="en-US"/>
        </w:rPr>
        <w:t xml:space="preserve"> </w:t>
      </w:r>
      <w:proofErr w:type="spellStart"/>
      <w:r w:rsidRPr="002750DC">
        <w:rPr>
          <w:rFonts w:ascii="Arial" w:hAnsi="Arial" w:cs="Arial"/>
          <w:szCs w:val="20"/>
          <w:lang w:val="en-US"/>
        </w:rPr>
        <w:t>Kowalczyk</w:t>
      </w:r>
      <w:proofErr w:type="spellEnd"/>
      <w:r w:rsidRPr="002750DC">
        <w:rPr>
          <w:rFonts w:ascii="Arial" w:hAnsi="Arial" w:cs="Arial"/>
          <w:szCs w:val="20"/>
          <w:lang w:val="en-US"/>
        </w:rPr>
        <w:t xml:space="preserve">, </w:t>
      </w:r>
      <w:r w:rsidRPr="002750DC">
        <w:rPr>
          <w:rFonts w:ascii="Arial" w:hAnsi="Arial" w:cs="Arial"/>
          <w:lang w:val="en-US"/>
        </w:rPr>
        <w:t xml:space="preserve">8th Warsaw International Medical Congress, 2012, Warszawa, </w:t>
      </w:r>
      <w:proofErr w:type="spellStart"/>
      <w:r w:rsidRPr="002750DC">
        <w:rPr>
          <w:rFonts w:ascii="Arial" w:hAnsi="Arial" w:cs="Arial"/>
          <w:lang w:val="en-US"/>
        </w:rPr>
        <w:t>Polska</w:t>
      </w:r>
      <w:proofErr w:type="spellEnd"/>
      <w:r w:rsidRPr="002750DC">
        <w:rPr>
          <w:rFonts w:ascii="Arial" w:hAnsi="Arial" w:cs="Arial"/>
          <w:lang w:val="en-US"/>
        </w:rPr>
        <w:t xml:space="preserve"> </w:t>
      </w:r>
    </w:p>
    <w:p w:rsidR="00150B2E" w:rsidRPr="002750DC" w:rsidRDefault="00150B2E" w:rsidP="00082450">
      <w:pPr>
        <w:widowControl w:val="0"/>
        <w:tabs>
          <w:tab w:val="right" w:leader="dot" w:pos="14742"/>
        </w:tabs>
        <w:spacing w:after="0" w:line="240" w:lineRule="auto"/>
        <w:ind w:right="675"/>
        <w:rPr>
          <w:rFonts w:ascii="Arial" w:hAnsi="Arial" w:cs="Arial"/>
          <w:b/>
          <w:lang w:val="en-US"/>
        </w:rPr>
      </w:pPr>
    </w:p>
    <w:p w:rsidR="00150B2E" w:rsidRPr="00236846" w:rsidRDefault="00150B2E" w:rsidP="00082450">
      <w:pPr>
        <w:widowControl w:val="0"/>
        <w:tabs>
          <w:tab w:val="right" w:leader="dot" w:pos="14742"/>
        </w:tabs>
        <w:spacing w:after="0" w:line="240" w:lineRule="auto"/>
        <w:ind w:right="675"/>
        <w:rPr>
          <w:rFonts w:ascii="Arial" w:hAnsi="Arial" w:cs="Arial"/>
          <w:b/>
          <w:lang w:val="en-US"/>
        </w:rPr>
      </w:pPr>
      <w:r w:rsidRPr="002750DC">
        <w:rPr>
          <w:rFonts w:ascii="Arial" w:hAnsi="Arial" w:cs="Arial"/>
          <w:lang w:val="en-US"/>
        </w:rPr>
        <w:t xml:space="preserve">Special Award of Case Report Session, A case report of empty </w:t>
      </w:r>
      <w:proofErr w:type="spellStart"/>
      <w:r w:rsidRPr="002750DC">
        <w:rPr>
          <w:rFonts w:ascii="Arial" w:hAnsi="Arial" w:cs="Arial"/>
          <w:lang w:val="en-US"/>
        </w:rPr>
        <w:t>sella</w:t>
      </w:r>
      <w:proofErr w:type="spellEnd"/>
      <w:r w:rsidRPr="002750DC">
        <w:rPr>
          <w:rFonts w:ascii="Arial" w:hAnsi="Arial" w:cs="Arial"/>
          <w:lang w:val="en-US"/>
        </w:rPr>
        <w:t xml:space="preserve"> syndrome in a patient with </w:t>
      </w:r>
      <w:proofErr w:type="spellStart"/>
      <w:r w:rsidRPr="002750DC">
        <w:rPr>
          <w:rFonts w:ascii="Arial" w:hAnsi="Arial" w:cs="Arial"/>
          <w:lang w:val="en-US"/>
        </w:rPr>
        <w:t>multihormonal</w:t>
      </w:r>
      <w:proofErr w:type="spellEnd"/>
      <w:r w:rsidRPr="002750DC">
        <w:rPr>
          <w:rFonts w:ascii="Arial" w:hAnsi="Arial" w:cs="Arial"/>
          <w:lang w:val="en-US"/>
        </w:rPr>
        <w:t xml:space="preserve"> </w:t>
      </w:r>
      <w:proofErr w:type="spellStart"/>
      <w:r w:rsidRPr="002750DC">
        <w:rPr>
          <w:rFonts w:ascii="Arial" w:hAnsi="Arial" w:cs="Arial"/>
          <w:lang w:val="en-US"/>
        </w:rPr>
        <w:t>hypopituitarism</w:t>
      </w:r>
      <w:proofErr w:type="spellEnd"/>
      <w:r w:rsidRPr="002750DC">
        <w:rPr>
          <w:rFonts w:ascii="Arial" w:hAnsi="Arial" w:cs="Arial"/>
          <w:lang w:val="en-US"/>
        </w:rPr>
        <w:t xml:space="preserve">, Sara </w:t>
      </w:r>
      <w:proofErr w:type="spellStart"/>
      <w:r w:rsidRPr="002750DC">
        <w:rPr>
          <w:rFonts w:ascii="Arial" w:hAnsi="Arial" w:cs="Arial"/>
          <w:lang w:val="en-US"/>
        </w:rPr>
        <w:t>Zawadzka</w:t>
      </w:r>
      <w:proofErr w:type="spellEnd"/>
      <w:r w:rsidRPr="002750DC">
        <w:rPr>
          <w:rFonts w:ascii="Arial" w:hAnsi="Arial" w:cs="Arial"/>
          <w:lang w:val="en-US"/>
        </w:rPr>
        <w:t xml:space="preserve">, Krzysztof </w:t>
      </w:r>
      <w:proofErr w:type="spellStart"/>
      <w:r w:rsidRPr="002750DC">
        <w:rPr>
          <w:rFonts w:ascii="Arial" w:hAnsi="Arial" w:cs="Arial"/>
          <w:lang w:val="en-US"/>
        </w:rPr>
        <w:t>Ozierański</w:t>
      </w:r>
      <w:proofErr w:type="spellEnd"/>
      <w:r w:rsidRPr="002750DC">
        <w:rPr>
          <w:rFonts w:ascii="Arial" w:hAnsi="Arial" w:cs="Arial"/>
          <w:lang w:val="en-US"/>
        </w:rPr>
        <w:t xml:space="preserve">, 8th Warsaw International Medical Congress, 2012, Warszawa, </w:t>
      </w:r>
      <w:proofErr w:type="spellStart"/>
      <w:r w:rsidRPr="002750DC">
        <w:rPr>
          <w:rFonts w:ascii="Arial" w:hAnsi="Arial" w:cs="Arial"/>
          <w:lang w:val="en-US"/>
        </w:rPr>
        <w:t>Polska</w:t>
      </w:r>
      <w:proofErr w:type="spellEnd"/>
    </w:p>
    <w:p w:rsidR="00150B2E" w:rsidRDefault="00150B2E" w:rsidP="00082450">
      <w:pPr>
        <w:widowControl w:val="0"/>
        <w:tabs>
          <w:tab w:val="right" w:leader="dot" w:pos="14742"/>
        </w:tabs>
        <w:spacing w:after="0" w:line="360" w:lineRule="auto"/>
        <w:ind w:right="672"/>
        <w:rPr>
          <w:rFonts w:ascii="Arial" w:hAnsi="Arial" w:cs="Arial"/>
          <w:lang w:val="en-US"/>
        </w:rPr>
      </w:pPr>
    </w:p>
    <w:p w:rsidR="00150B2E" w:rsidRDefault="00150B2E" w:rsidP="00082450">
      <w:pPr>
        <w:widowControl w:val="0"/>
        <w:tabs>
          <w:tab w:val="right" w:leader="dot" w:pos="14742"/>
        </w:tabs>
        <w:spacing w:after="0" w:line="240" w:lineRule="auto"/>
        <w:ind w:right="675"/>
        <w:rPr>
          <w:rFonts w:ascii="Arial" w:hAnsi="Arial" w:cs="Arial"/>
          <w:lang w:val="en-US"/>
        </w:rPr>
      </w:pPr>
      <w:r>
        <w:rPr>
          <w:rFonts w:ascii="Arial" w:hAnsi="Arial" w:cs="Arial"/>
          <w:lang w:val="en-US"/>
        </w:rPr>
        <w:t>1</w:t>
      </w:r>
      <w:r w:rsidRPr="002750DC">
        <w:rPr>
          <w:rFonts w:ascii="Arial" w:hAnsi="Arial" w:cs="Arial"/>
          <w:vertAlign w:val="superscript"/>
          <w:lang w:val="en-US"/>
        </w:rPr>
        <w:t>st</w:t>
      </w:r>
      <w:r>
        <w:rPr>
          <w:rFonts w:ascii="Arial" w:hAnsi="Arial" w:cs="Arial"/>
          <w:lang w:val="en-US"/>
        </w:rPr>
        <w:t xml:space="preserve">Prize A case report of 60 year old man with depression and hypertension diagnosed with </w:t>
      </w:r>
      <w:proofErr w:type="spellStart"/>
      <w:r>
        <w:rPr>
          <w:rFonts w:ascii="Arial" w:hAnsi="Arial" w:cs="Arial"/>
          <w:lang w:val="en-US"/>
        </w:rPr>
        <w:t>pheochromocytoma</w:t>
      </w:r>
      <w:proofErr w:type="spellEnd"/>
      <w:r>
        <w:rPr>
          <w:rFonts w:ascii="Arial" w:hAnsi="Arial" w:cs="Arial"/>
          <w:lang w:val="en-US"/>
        </w:rPr>
        <w:t xml:space="preserve">. </w:t>
      </w:r>
      <w:proofErr w:type="spellStart"/>
      <w:r>
        <w:rPr>
          <w:rFonts w:ascii="Arial" w:hAnsi="Arial" w:cs="Arial"/>
          <w:lang w:val="en-US"/>
        </w:rPr>
        <w:t>Kinga</w:t>
      </w:r>
      <w:proofErr w:type="spellEnd"/>
      <w:r>
        <w:rPr>
          <w:rFonts w:ascii="Arial" w:hAnsi="Arial" w:cs="Arial"/>
          <w:lang w:val="en-US"/>
        </w:rPr>
        <w:t xml:space="preserve"> </w:t>
      </w:r>
      <w:proofErr w:type="spellStart"/>
      <w:r>
        <w:rPr>
          <w:rFonts w:ascii="Arial" w:hAnsi="Arial" w:cs="Arial"/>
          <w:lang w:val="en-US"/>
        </w:rPr>
        <w:t>Brodzińska</w:t>
      </w:r>
      <w:proofErr w:type="spellEnd"/>
      <w:r>
        <w:rPr>
          <w:rFonts w:ascii="Arial" w:hAnsi="Arial" w:cs="Arial"/>
          <w:lang w:val="en-US"/>
        </w:rPr>
        <w:t xml:space="preserve">, </w:t>
      </w:r>
      <w:proofErr w:type="spellStart"/>
      <w:r>
        <w:rPr>
          <w:rFonts w:ascii="Arial" w:hAnsi="Arial" w:cs="Arial"/>
          <w:lang w:val="en-US"/>
        </w:rPr>
        <w:t>Beata</w:t>
      </w:r>
      <w:proofErr w:type="spellEnd"/>
      <w:r>
        <w:rPr>
          <w:rFonts w:ascii="Arial" w:hAnsi="Arial" w:cs="Arial"/>
          <w:lang w:val="en-US"/>
        </w:rPr>
        <w:t xml:space="preserve"> </w:t>
      </w:r>
      <w:proofErr w:type="spellStart"/>
      <w:r>
        <w:rPr>
          <w:rFonts w:ascii="Arial" w:hAnsi="Arial" w:cs="Arial"/>
          <w:lang w:val="en-US"/>
        </w:rPr>
        <w:t>Rak</w:t>
      </w:r>
      <w:proofErr w:type="spellEnd"/>
      <w:r>
        <w:rPr>
          <w:rFonts w:ascii="Arial" w:hAnsi="Arial" w:cs="Arial"/>
          <w:lang w:val="en-US"/>
        </w:rPr>
        <w:t>. 11</w:t>
      </w:r>
      <w:r w:rsidRPr="00054294">
        <w:rPr>
          <w:rFonts w:ascii="Arial" w:hAnsi="Arial" w:cs="Arial"/>
          <w:vertAlign w:val="superscript"/>
          <w:lang w:val="en-US"/>
        </w:rPr>
        <w:t>th</w:t>
      </w:r>
      <w:r>
        <w:rPr>
          <w:rFonts w:ascii="Arial" w:hAnsi="Arial" w:cs="Arial"/>
          <w:lang w:val="en-US"/>
        </w:rPr>
        <w:t xml:space="preserve"> Warsaw International Medical Congress 2015, Warszawa, </w:t>
      </w:r>
      <w:proofErr w:type="spellStart"/>
      <w:r>
        <w:rPr>
          <w:rFonts w:ascii="Arial" w:hAnsi="Arial" w:cs="Arial"/>
          <w:lang w:val="en-US"/>
        </w:rPr>
        <w:t>Polska</w:t>
      </w:r>
      <w:proofErr w:type="spellEnd"/>
      <w:r>
        <w:rPr>
          <w:rFonts w:ascii="Arial" w:hAnsi="Arial" w:cs="Arial"/>
          <w:lang w:val="en-US"/>
        </w:rPr>
        <w:t>.</w:t>
      </w:r>
    </w:p>
    <w:p w:rsidR="00B71F50" w:rsidRDefault="00B71F50" w:rsidP="00082450">
      <w:pPr>
        <w:widowControl w:val="0"/>
        <w:tabs>
          <w:tab w:val="right" w:leader="dot" w:pos="14742"/>
        </w:tabs>
        <w:spacing w:after="0" w:line="240" w:lineRule="auto"/>
        <w:ind w:right="675"/>
        <w:rPr>
          <w:rFonts w:ascii="Arial" w:hAnsi="Arial" w:cs="Arial"/>
          <w:lang w:val="en-US"/>
        </w:rPr>
      </w:pPr>
    </w:p>
    <w:p w:rsidR="00B71F50" w:rsidRPr="00B71F50" w:rsidRDefault="00B71F50" w:rsidP="00082450">
      <w:pPr>
        <w:widowControl w:val="0"/>
        <w:tabs>
          <w:tab w:val="right" w:leader="dot" w:pos="14742"/>
        </w:tabs>
        <w:spacing w:after="0" w:line="240" w:lineRule="auto"/>
        <w:ind w:right="675"/>
        <w:rPr>
          <w:rFonts w:ascii="Arial" w:hAnsi="Arial" w:cs="Arial"/>
          <w:lang w:val="en-US"/>
        </w:rPr>
      </w:pPr>
      <w:r w:rsidRPr="00B71F50">
        <w:rPr>
          <w:rFonts w:ascii="Arial" w:hAnsi="Arial" w:cs="Arial"/>
          <w:lang w:val="en-US"/>
        </w:rPr>
        <w:t>2</w:t>
      </w:r>
      <w:r w:rsidRPr="00B71F50">
        <w:rPr>
          <w:rFonts w:ascii="Arial" w:hAnsi="Arial" w:cs="Arial"/>
          <w:vertAlign w:val="superscript"/>
          <w:lang w:val="en-US"/>
        </w:rPr>
        <w:t>nd</w:t>
      </w:r>
      <w:r w:rsidR="0040446D">
        <w:rPr>
          <w:rFonts w:ascii="Arial" w:hAnsi="Arial" w:cs="Arial"/>
          <w:lang w:val="en-US"/>
        </w:rPr>
        <w:t>P</w:t>
      </w:r>
      <w:r w:rsidRPr="00B71F50">
        <w:rPr>
          <w:rFonts w:ascii="Arial" w:hAnsi="Arial" w:cs="Arial"/>
          <w:lang w:val="en-US"/>
        </w:rPr>
        <w:t xml:space="preserve">lace Evaluation of sex </w:t>
      </w:r>
      <w:proofErr w:type="spellStart"/>
      <w:r w:rsidRPr="00B71F50">
        <w:rPr>
          <w:rFonts w:ascii="Arial" w:hAnsi="Arial" w:cs="Arial"/>
          <w:lang w:val="en-US"/>
        </w:rPr>
        <w:t>ula</w:t>
      </w:r>
      <w:proofErr w:type="spellEnd"/>
      <w:r w:rsidRPr="00B71F50">
        <w:rPr>
          <w:rFonts w:ascii="Arial" w:hAnsi="Arial" w:cs="Arial"/>
          <w:lang w:val="en-US"/>
        </w:rPr>
        <w:t xml:space="preserve"> function In women with </w:t>
      </w:r>
      <w:proofErr w:type="spellStart"/>
      <w:r w:rsidRPr="00B71F50">
        <w:rPr>
          <w:rFonts w:ascii="Arial" w:hAnsi="Arial" w:cs="Arial"/>
          <w:lang w:val="en-US"/>
        </w:rPr>
        <w:t>hyperandrogenic</w:t>
      </w:r>
      <w:proofErr w:type="spellEnd"/>
      <w:r w:rsidRPr="00B71F50">
        <w:rPr>
          <w:rFonts w:ascii="Arial" w:hAnsi="Arial" w:cs="Arial"/>
          <w:lang w:val="en-US"/>
        </w:rPr>
        <w:t xml:space="preserve"> syndrome.</w:t>
      </w:r>
      <w:r>
        <w:rPr>
          <w:rFonts w:ascii="Arial" w:hAnsi="Arial" w:cs="Arial"/>
          <w:lang w:val="en-US"/>
        </w:rPr>
        <w:t xml:space="preserve"> Anna Nowak . VIII International student’s conference of Young Medical Researchers 2018, </w:t>
      </w:r>
      <w:proofErr w:type="spellStart"/>
      <w:r>
        <w:rPr>
          <w:rFonts w:ascii="Arial" w:hAnsi="Arial" w:cs="Arial"/>
          <w:lang w:val="en-US"/>
        </w:rPr>
        <w:t>Wrocław</w:t>
      </w:r>
      <w:proofErr w:type="spellEnd"/>
      <w:r>
        <w:rPr>
          <w:rFonts w:ascii="Arial" w:hAnsi="Arial" w:cs="Arial"/>
          <w:lang w:val="en-US"/>
        </w:rPr>
        <w:t xml:space="preserve">, </w:t>
      </w:r>
      <w:proofErr w:type="spellStart"/>
      <w:r>
        <w:rPr>
          <w:rFonts w:ascii="Arial" w:hAnsi="Arial" w:cs="Arial"/>
          <w:lang w:val="en-US"/>
        </w:rPr>
        <w:t>Polska</w:t>
      </w:r>
      <w:proofErr w:type="spellEnd"/>
      <w:r>
        <w:rPr>
          <w:rFonts w:ascii="Arial" w:hAnsi="Arial" w:cs="Arial"/>
          <w:lang w:val="en-US"/>
        </w:rPr>
        <w:t xml:space="preserve"> </w:t>
      </w:r>
      <w:r w:rsidRPr="00B71F50">
        <w:rPr>
          <w:rFonts w:ascii="Arial" w:hAnsi="Arial" w:cs="Arial"/>
          <w:lang w:val="en-US"/>
        </w:rPr>
        <w:t xml:space="preserve"> </w:t>
      </w:r>
    </w:p>
    <w:p w:rsidR="00150B2E" w:rsidRPr="00B71F50" w:rsidRDefault="00150B2E" w:rsidP="00082450">
      <w:pPr>
        <w:widowControl w:val="0"/>
        <w:tabs>
          <w:tab w:val="right" w:leader="dot" w:pos="14742"/>
        </w:tabs>
        <w:spacing w:after="0" w:line="240" w:lineRule="auto"/>
        <w:ind w:right="675"/>
        <w:rPr>
          <w:rFonts w:ascii="Arial" w:hAnsi="Arial" w:cs="Arial"/>
          <w:lang w:val="en-US"/>
        </w:rPr>
      </w:pPr>
    </w:p>
    <w:p w:rsidR="00150B2E" w:rsidRPr="00B71F50" w:rsidRDefault="00150B2E" w:rsidP="00150B2E">
      <w:pPr>
        <w:widowControl w:val="0"/>
        <w:tabs>
          <w:tab w:val="right" w:leader="dot" w:pos="14742"/>
        </w:tabs>
        <w:spacing w:after="0" w:line="240" w:lineRule="auto"/>
        <w:ind w:right="675"/>
        <w:jc w:val="both"/>
        <w:rPr>
          <w:rFonts w:ascii="Arial" w:hAnsi="Arial" w:cs="Arial"/>
          <w:lang w:val="en-US"/>
        </w:rPr>
      </w:pPr>
    </w:p>
    <w:p w:rsidR="000B57DD" w:rsidRDefault="000B57DD" w:rsidP="00150B2E">
      <w:pPr>
        <w:widowControl w:val="0"/>
        <w:tabs>
          <w:tab w:val="right" w:leader="dot" w:pos="14742"/>
        </w:tabs>
        <w:spacing w:after="0" w:line="240" w:lineRule="auto"/>
        <w:ind w:right="675"/>
        <w:jc w:val="both"/>
        <w:rPr>
          <w:rFonts w:ascii="Arial" w:hAnsi="Arial" w:cs="Arial"/>
        </w:rPr>
      </w:pPr>
    </w:p>
    <w:p w:rsidR="00150B2E" w:rsidRPr="006517BE" w:rsidRDefault="00150B2E" w:rsidP="00150B2E">
      <w:pPr>
        <w:widowControl w:val="0"/>
        <w:tabs>
          <w:tab w:val="right" w:leader="dot" w:pos="14742"/>
        </w:tabs>
        <w:spacing w:after="0" w:line="240" w:lineRule="auto"/>
        <w:ind w:right="675"/>
        <w:jc w:val="both"/>
        <w:rPr>
          <w:rFonts w:ascii="Arial" w:hAnsi="Arial" w:cs="Arial"/>
        </w:rPr>
      </w:pPr>
      <w:r w:rsidRPr="006517BE">
        <w:rPr>
          <w:rFonts w:ascii="Arial" w:hAnsi="Arial" w:cs="Arial"/>
        </w:rPr>
        <w:lastRenderedPageBreak/>
        <w:t xml:space="preserve">Byłam i jestem opiekunem </w:t>
      </w:r>
      <w:proofErr w:type="spellStart"/>
      <w:r w:rsidRPr="006517BE">
        <w:rPr>
          <w:rFonts w:ascii="Arial" w:hAnsi="Arial" w:cs="Arial"/>
        </w:rPr>
        <w:t>minigrantów</w:t>
      </w:r>
      <w:proofErr w:type="spellEnd"/>
      <w:r w:rsidRPr="006517BE">
        <w:rPr>
          <w:rFonts w:ascii="Arial" w:hAnsi="Arial" w:cs="Arial"/>
        </w:rPr>
        <w:t xml:space="preserve"> studenckich:</w:t>
      </w:r>
    </w:p>
    <w:p w:rsidR="00150B2E" w:rsidRPr="006517BE" w:rsidRDefault="00150B2E" w:rsidP="00150B2E">
      <w:pPr>
        <w:widowControl w:val="0"/>
        <w:tabs>
          <w:tab w:val="right" w:leader="dot" w:pos="14742"/>
        </w:tabs>
        <w:spacing w:after="0" w:line="240" w:lineRule="auto"/>
        <w:ind w:right="675"/>
        <w:jc w:val="both"/>
        <w:rPr>
          <w:rFonts w:ascii="Arial" w:hAnsi="Arial" w:cs="Arial"/>
        </w:rPr>
      </w:pPr>
    </w:p>
    <w:p w:rsidR="00150B2E" w:rsidRPr="008948B9" w:rsidRDefault="00150B2E" w:rsidP="00150B2E">
      <w:pPr>
        <w:pStyle w:val="Akapitzlist"/>
        <w:numPr>
          <w:ilvl w:val="0"/>
          <w:numId w:val="25"/>
        </w:numPr>
        <w:spacing w:after="0" w:line="360" w:lineRule="auto"/>
        <w:ind w:right="672"/>
        <w:jc w:val="both"/>
        <w:rPr>
          <w:rFonts w:ascii="Arial" w:hAnsi="Arial" w:cs="Arial"/>
        </w:rPr>
      </w:pPr>
      <w:r w:rsidRPr="006517BE">
        <w:rPr>
          <w:rFonts w:ascii="Arial" w:eastAsia="Calibri" w:hAnsi="Arial" w:cs="Arial"/>
        </w:rPr>
        <w:t>Udział erytrocytów w wiązaniu testo</w:t>
      </w:r>
      <w:r w:rsidR="003E7671" w:rsidRPr="006517BE">
        <w:rPr>
          <w:rFonts w:ascii="Arial" w:eastAsia="Calibri" w:hAnsi="Arial" w:cs="Arial"/>
        </w:rPr>
        <w:t>ster</w:t>
      </w:r>
      <w:r w:rsidR="003E7671">
        <w:rPr>
          <w:rFonts w:ascii="Arial" w:eastAsia="Calibri" w:hAnsi="Arial" w:cs="Arial"/>
        </w:rPr>
        <w:t xml:space="preserve">onu, </w:t>
      </w:r>
      <w:proofErr w:type="spellStart"/>
      <w:r w:rsidR="003E7671">
        <w:rPr>
          <w:rFonts w:ascii="Arial" w:eastAsia="Calibri" w:hAnsi="Arial" w:cs="Arial"/>
        </w:rPr>
        <w:t>androstendionu</w:t>
      </w:r>
      <w:proofErr w:type="spellEnd"/>
      <w:r w:rsidR="003E7671">
        <w:rPr>
          <w:rFonts w:ascii="Arial" w:eastAsia="Calibri" w:hAnsi="Arial" w:cs="Arial"/>
        </w:rPr>
        <w:t xml:space="preserve"> i 17-OH</w:t>
      </w:r>
      <w:r w:rsidR="00AD6AE8">
        <w:rPr>
          <w:rFonts w:ascii="Arial" w:eastAsia="Calibri" w:hAnsi="Arial" w:cs="Arial"/>
        </w:rPr>
        <w:t xml:space="preserve"> </w:t>
      </w:r>
      <w:r w:rsidRPr="008948B9">
        <w:rPr>
          <w:rFonts w:ascii="Arial" w:eastAsia="Calibri" w:hAnsi="Arial" w:cs="Arial"/>
        </w:rPr>
        <w:t xml:space="preserve">progesteronu  u kobiet z zespołem </w:t>
      </w:r>
      <w:proofErr w:type="spellStart"/>
      <w:r w:rsidRPr="008948B9">
        <w:rPr>
          <w:rFonts w:ascii="Arial" w:eastAsia="Calibri" w:hAnsi="Arial" w:cs="Arial"/>
        </w:rPr>
        <w:t>hiperandrogenizacji</w:t>
      </w:r>
      <w:proofErr w:type="spellEnd"/>
      <w:r>
        <w:rPr>
          <w:rFonts w:ascii="Arial" w:hAnsi="Arial" w:cs="Arial"/>
        </w:rPr>
        <w:t>- 2014 rok.</w:t>
      </w:r>
    </w:p>
    <w:p w:rsidR="00150B2E" w:rsidRPr="008948B9" w:rsidRDefault="00150B2E" w:rsidP="00150B2E">
      <w:pPr>
        <w:pStyle w:val="Akapitzlist"/>
        <w:widowControl w:val="0"/>
        <w:numPr>
          <w:ilvl w:val="0"/>
          <w:numId w:val="25"/>
        </w:numPr>
        <w:tabs>
          <w:tab w:val="right" w:leader="dot" w:pos="14742"/>
        </w:tabs>
        <w:spacing w:line="360" w:lineRule="auto"/>
        <w:ind w:left="714" w:right="675" w:hanging="357"/>
        <w:jc w:val="both"/>
        <w:rPr>
          <w:rFonts w:ascii="Arial" w:hAnsi="Arial" w:cs="Arial"/>
        </w:rPr>
      </w:pPr>
      <w:r>
        <w:rPr>
          <w:rFonts w:ascii="Arial" w:hAnsi="Arial" w:cs="Arial"/>
        </w:rPr>
        <w:t xml:space="preserve">Ocena stężenia późnowieczornego kortyzolu w ślinie i testu hamowania z 1 mg </w:t>
      </w:r>
      <w:proofErr w:type="spellStart"/>
      <w:r>
        <w:rPr>
          <w:rFonts w:ascii="Arial" w:hAnsi="Arial" w:cs="Arial"/>
        </w:rPr>
        <w:t>deksametazonu</w:t>
      </w:r>
      <w:proofErr w:type="spellEnd"/>
      <w:r>
        <w:rPr>
          <w:rFonts w:ascii="Arial" w:hAnsi="Arial" w:cs="Arial"/>
        </w:rPr>
        <w:t xml:space="preserve"> u osób z przewlekłą chorobą nerek w 3, 4 i 5 stopniu zaawansowania- 2014 rok.</w:t>
      </w:r>
    </w:p>
    <w:p w:rsidR="00150B2E" w:rsidRPr="00150B2E" w:rsidRDefault="00150B2E" w:rsidP="00150B2E">
      <w:pPr>
        <w:pStyle w:val="Akapitzlist"/>
        <w:widowControl w:val="0"/>
        <w:numPr>
          <w:ilvl w:val="0"/>
          <w:numId w:val="25"/>
        </w:numPr>
        <w:tabs>
          <w:tab w:val="right" w:leader="dot" w:pos="14742"/>
        </w:tabs>
        <w:spacing w:line="240" w:lineRule="auto"/>
        <w:ind w:right="675"/>
        <w:jc w:val="both"/>
        <w:rPr>
          <w:rFonts w:ascii="Arial" w:hAnsi="Arial" w:cs="Arial"/>
        </w:rPr>
      </w:pPr>
      <w:r w:rsidRPr="008948B9">
        <w:rPr>
          <w:rFonts w:ascii="Arial" w:hAnsi="Arial" w:cs="Arial"/>
          <w:bCs/>
          <w:iCs/>
        </w:rPr>
        <w:t>Cyklina B jako mark</w:t>
      </w:r>
      <w:r>
        <w:rPr>
          <w:rFonts w:ascii="Arial" w:hAnsi="Arial" w:cs="Arial"/>
          <w:bCs/>
          <w:iCs/>
        </w:rPr>
        <w:t>er prognostyczny raka nadnerczy- 2017 rok.</w:t>
      </w:r>
    </w:p>
    <w:p w:rsidR="00150B2E" w:rsidRDefault="00150B2E" w:rsidP="00150B2E">
      <w:pPr>
        <w:widowControl w:val="0"/>
        <w:tabs>
          <w:tab w:val="right" w:leader="dot" w:pos="14742"/>
        </w:tabs>
        <w:spacing w:line="240" w:lineRule="auto"/>
        <w:ind w:right="675"/>
        <w:jc w:val="both"/>
        <w:rPr>
          <w:rFonts w:ascii="Arial" w:hAnsi="Arial" w:cs="Arial"/>
        </w:rPr>
      </w:pPr>
    </w:p>
    <w:p w:rsidR="009C5B30" w:rsidRPr="000B57DD" w:rsidRDefault="00150B2E" w:rsidP="000B57DD">
      <w:pPr>
        <w:spacing w:line="360" w:lineRule="auto"/>
        <w:jc w:val="both"/>
        <w:rPr>
          <w:rFonts w:ascii="Arial" w:hAnsi="Arial" w:cs="Arial"/>
        </w:rPr>
      </w:pPr>
      <w:r>
        <w:rPr>
          <w:rFonts w:ascii="Arial" w:hAnsi="Arial" w:cs="Arial"/>
        </w:rPr>
        <w:t>Jestem recenzentem prac studentów zgłaszanych na W</w:t>
      </w:r>
      <w:r w:rsidR="003F230B">
        <w:rPr>
          <w:rFonts w:ascii="Arial" w:hAnsi="Arial" w:cs="Arial"/>
        </w:rPr>
        <w:t xml:space="preserve">arsaw </w:t>
      </w:r>
      <w:r>
        <w:rPr>
          <w:rFonts w:ascii="Arial" w:hAnsi="Arial" w:cs="Arial"/>
        </w:rPr>
        <w:t>I</w:t>
      </w:r>
      <w:r w:rsidR="003F230B">
        <w:rPr>
          <w:rFonts w:ascii="Arial" w:hAnsi="Arial" w:cs="Arial"/>
        </w:rPr>
        <w:t xml:space="preserve">nternational </w:t>
      </w:r>
      <w:proofErr w:type="spellStart"/>
      <w:r>
        <w:rPr>
          <w:rFonts w:ascii="Arial" w:hAnsi="Arial" w:cs="Arial"/>
        </w:rPr>
        <w:t>M</w:t>
      </w:r>
      <w:r w:rsidR="003F230B">
        <w:rPr>
          <w:rFonts w:ascii="Arial" w:hAnsi="Arial" w:cs="Arial"/>
        </w:rPr>
        <w:t>edical</w:t>
      </w:r>
      <w:proofErr w:type="spellEnd"/>
      <w:r w:rsidR="003F230B">
        <w:rPr>
          <w:rFonts w:ascii="Arial" w:hAnsi="Arial" w:cs="Arial"/>
        </w:rPr>
        <w:t xml:space="preserve"> </w:t>
      </w:r>
      <w:proofErr w:type="spellStart"/>
      <w:r>
        <w:rPr>
          <w:rFonts w:ascii="Arial" w:hAnsi="Arial" w:cs="Arial"/>
        </w:rPr>
        <w:t>C</w:t>
      </w:r>
      <w:r w:rsidR="003F230B">
        <w:rPr>
          <w:rFonts w:ascii="Arial" w:hAnsi="Arial" w:cs="Arial"/>
        </w:rPr>
        <w:t>ongress</w:t>
      </w:r>
      <w:proofErr w:type="spellEnd"/>
      <w:r>
        <w:rPr>
          <w:rFonts w:ascii="Arial" w:hAnsi="Arial" w:cs="Arial"/>
        </w:rPr>
        <w:t>.</w:t>
      </w:r>
      <w:r w:rsidR="00900A5C">
        <w:rPr>
          <w:rFonts w:ascii="Arial" w:hAnsi="Arial" w:cs="Arial"/>
        </w:rPr>
        <w:t xml:space="preserve"> </w:t>
      </w:r>
      <w:r>
        <w:rPr>
          <w:rFonts w:ascii="Arial" w:hAnsi="Arial" w:cs="Arial"/>
        </w:rPr>
        <w:t>Współorganizowałam ze studentami piknik W</w:t>
      </w:r>
      <w:r w:rsidR="003F230B">
        <w:rPr>
          <w:rFonts w:ascii="Arial" w:hAnsi="Arial" w:cs="Arial"/>
        </w:rPr>
        <w:t>arszawskiego Uniwersytetu Medycznego</w:t>
      </w:r>
      <w:r>
        <w:rPr>
          <w:rFonts w:ascii="Arial" w:hAnsi="Arial" w:cs="Arial"/>
        </w:rPr>
        <w:t xml:space="preserve">.  </w:t>
      </w:r>
    </w:p>
    <w:p w:rsidR="00150B2E" w:rsidRPr="00150B2E" w:rsidRDefault="00150B2E" w:rsidP="00150B2E">
      <w:pPr>
        <w:widowControl w:val="0"/>
        <w:tabs>
          <w:tab w:val="right" w:leader="dot" w:pos="14742"/>
        </w:tabs>
        <w:spacing w:line="240" w:lineRule="auto"/>
        <w:ind w:right="675"/>
        <w:jc w:val="both"/>
        <w:rPr>
          <w:rFonts w:ascii="Arial" w:hAnsi="Arial" w:cs="Arial"/>
          <w:b/>
        </w:rPr>
      </w:pPr>
      <w:r w:rsidRPr="00150B2E">
        <w:rPr>
          <w:rFonts w:ascii="Arial" w:hAnsi="Arial" w:cs="Arial"/>
          <w:b/>
        </w:rPr>
        <w:t xml:space="preserve">Dydaktyka dla lekarzy </w:t>
      </w:r>
    </w:p>
    <w:p w:rsidR="002A2E8E" w:rsidRDefault="002078C5" w:rsidP="000B57DD">
      <w:pPr>
        <w:spacing w:line="360" w:lineRule="auto"/>
        <w:ind w:firstLine="708"/>
        <w:jc w:val="both"/>
        <w:rPr>
          <w:rFonts w:ascii="Arial" w:hAnsi="Arial" w:cs="Arial"/>
          <w:bCs/>
          <w:shd w:val="clear" w:color="auto" w:fill="FFFFFF"/>
        </w:rPr>
      </w:pPr>
      <w:r>
        <w:rPr>
          <w:rFonts w:ascii="Arial" w:hAnsi="Arial" w:cs="Arial"/>
          <w:bCs/>
          <w:shd w:val="clear" w:color="auto" w:fill="FFFFFF"/>
        </w:rPr>
        <w:t>Aktywnie uczestniczę w programach edukacyjnych dla lekarzy internistów i endokrynologów na łamach Medycyny Praktycznej i Medycyny po Dyplomie</w:t>
      </w:r>
      <w:r w:rsidR="003665CF">
        <w:rPr>
          <w:rFonts w:ascii="Arial" w:hAnsi="Arial" w:cs="Arial"/>
          <w:bCs/>
          <w:shd w:val="clear" w:color="auto" w:fill="FFFFFF"/>
        </w:rPr>
        <w:t xml:space="preserve">. Za opracowanie programu edukacyjnego publikowanego na łamach miesięcznika „Medycyna Praktyczna” otrzymałam w 2009 roku nagrodę zespołową dydaktyczną III stopnia Rektora Warszawskiego Uniwersytetu Medycznego.  </w:t>
      </w:r>
    </w:p>
    <w:p w:rsidR="002078C5" w:rsidRDefault="00057A2E" w:rsidP="00082450">
      <w:pPr>
        <w:spacing w:line="360" w:lineRule="auto"/>
        <w:ind w:firstLine="708"/>
        <w:jc w:val="both"/>
        <w:rPr>
          <w:rFonts w:ascii="Arial" w:hAnsi="Arial" w:cs="Arial"/>
          <w:bCs/>
          <w:shd w:val="clear" w:color="auto" w:fill="FFFFFF"/>
        </w:rPr>
      </w:pPr>
      <w:r>
        <w:rPr>
          <w:rFonts w:ascii="Arial" w:hAnsi="Arial" w:cs="Arial"/>
          <w:bCs/>
          <w:shd w:val="clear" w:color="auto" w:fill="FFFFFF"/>
        </w:rPr>
        <w:t xml:space="preserve">Jestem autorem wykładów z zakresu endokrynologii w ramach konferencji szkoleniowych </w:t>
      </w:r>
      <w:r w:rsidR="004D2551">
        <w:rPr>
          <w:rFonts w:ascii="Arial" w:hAnsi="Arial" w:cs="Arial"/>
          <w:bCs/>
          <w:shd w:val="clear" w:color="auto" w:fill="FFFFFF"/>
        </w:rPr>
        <w:t xml:space="preserve">polskich i międzynarodowych </w:t>
      </w:r>
      <w:r>
        <w:rPr>
          <w:rFonts w:ascii="Arial" w:hAnsi="Arial" w:cs="Arial"/>
          <w:bCs/>
          <w:shd w:val="clear" w:color="auto" w:fill="FFFFFF"/>
        </w:rPr>
        <w:t>dla internistów i endokrynologów</w:t>
      </w:r>
      <w:r w:rsidR="00900A5C">
        <w:rPr>
          <w:rFonts w:ascii="Arial" w:hAnsi="Arial" w:cs="Arial"/>
          <w:bCs/>
          <w:shd w:val="clear" w:color="auto" w:fill="FFFFFF"/>
        </w:rPr>
        <w:t xml:space="preserve"> w ramach</w:t>
      </w:r>
      <w:r>
        <w:rPr>
          <w:rFonts w:ascii="Arial" w:hAnsi="Arial" w:cs="Arial"/>
          <w:bCs/>
          <w:shd w:val="clear" w:color="auto" w:fill="FFFFFF"/>
        </w:rPr>
        <w:t>:</w:t>
      </w:r>
    </w:p>
    <w:p w:rsidR="00900A5C" w:rsidRDefault="00186073" w:rsidP="00082450">
      <w:pPr>
        <w:pStyle w:val="Akapitzlist"/>
        <w:numPr>
          <w:ilvl w:val="0"/>
          <w:numId w:val="27"/>
        </w:numPr>
        <w:spacing w:line="360" w:lineRule="auto"/>
        <w:ind w:left="709"/>
        <w:rPr>
          <w:rFonts w:ascii="Arial" w:hAnsi="Arial" w:cs="Arial"/>
          <w:bCs/>
          <w:shd w:val="clear" w:color="auto" w:fill="FFFFFF"/>
        </w:rPr>
      </w:pPr>
      <w:r>
        <w:rPr>
          <w:rFonts w:ascii="Arial" w:hAnsi="Arial" w:cs="Arial"/>
          <w:bCs/>
          <w:shd w:val="clear" w:color="auto" w:fill="FFFFFF"/>
        </w:rPr>
        <w:t>p</w:t>
      </w:r>
      <w:r w:rsidR="00900A5C">
        <w:rPr>
          <w:rFonts w:ascii="Arial" w:hAnsi="Arial" w:cs="Arial"/>
          <w:bCs/>
          <w:shd w:val="clear" w:color="auto" w:fill="FFFFFF"/>
        </w:rPr>
        <w:t>osiedzeń</w:t>
      </w:r>
      <w:r w:rsidR="00900A5C" w:rsidRPr="00900A5C">
        <w:rPr>
          <w:rFonts w:ascii="Arial" w:hAnsi="Arial" w:cs="Arial"/>
          <w:bCs/>
          <w:shd w:val="clear" w:color="auto" w:fill="FFFFFF"/>
        </w:rPr>
        <w:t xml:space="preserve"> </w:t>
      </w:r>
      <w:r w:rsidR="00900A5C">
        <w:rPr>
          <w:rFonts w:ascii="Arial" w:hAnsi="Arial" w:cs="Arial"/>
          <w:bCs/>
          <w:shd w:val="clear" w:color="auto" w:fill="FFFFFF"/>
        </w:rPr>
        <w:t xml:space="preserve">Oddziału Warszawskiego Polskiego Towarzystwa Endokrynologicznego </w:t>
      </w:r>
    </w:p>
    <w:p w:rsidR="00900A5C" w:rsidRPr="00900A5C" w:rsidRDefault="00900A5C" w:rsidP="00082450">
      <w:pPr>
        <w:pStyle w:val="Akapitzlist"/>
        <w:numPr>
          <w:ilvl w:val="0"/>
          <w:numId w:val="27"/>
        </w:numPr>
        <w:spacing w:line="360" w:lineRule="auto"/>
        <w:ind w:left="709"/>
        <w:rPr>
          <w:rFonts w:ascii="Arial" w:hAnsi="Arial" w:cs="Arial"/>
          <w:bCs/>
          <w:shd w:val="clear" w:color="auto" w:fill="FFFFFF"/>
        </w:rPr>
      </w:pPr>
      <w:r>
        <w:rPr>
          <w:rFonts w:ascii="Arial" w:hAnsi="Arial" w:cs="Arial"/>
        </w:rPr>
        <w:t>Kursów Kształcenia Ustawicznego z endokrynologii, diabetologii i chorób metabolicznych</w:t>
      </w:r>
    </w:p>
    <w:p w:rsidR="00900A5C" w:rsidRPr="00900A5C" w:rsidRDefault="00900A5C" w:rsidP="00082450">
      <w:pPr>
        <w:pStyle w:val="Akapitzlist"/>
        <w:numPr>
          <w:ilvl w:val="0"/>
          <w:numId w:val="27"/>
        </w:numPr>
        <w:spacing w:line="360" w:lineRule="auto"/>
        <w:ind w:left="709"/>
        <w:rPr>
          <w:rFonts w:ascii="Arial" w:hAnsi="Arial" w:cs="Arial"/>
          <w:bCs/>
          <w:shd w:val="clear" w:color="auto" w:fill="FFFFFF"/>
        </w:rPr>
      </w:pPr>
      <w:proofErr w:type="spellStart"/>
      <w:r w:rsidRPr="00C81F37">
        <w:rPr>
          <w:rFonts w:ascii="Arial" w:hAnsi="Arial" w:cs="Arial"/>
          <w:bCs/>
          <w:shd w:val="clear" w:color="auto" w:fill="FFFFFF"/>
          <w:lang w:val="en-US"/>
        </w:rPr>
        <w:t>Zjazd</w:t>
      </w:r>
      <w:r>
        <w:rPr>
          <w:rFonts w:ascii="Arial" w:hAnsi="Arial" w:cs="Arial"/>
          <w:bCs/>
          <w:shd w:val="clear" w:color="auto" w:fill="FFFFFF"/>
          <w:lang w:val="en-US"/>
        </w:rPr>
        <w:t>ów</w:t>
      </w:r>
      <w:proofErr w:type="spellEnd"/>
      <w:r w:rsidRPr="00C81F37">
        <w:rPr>
          <w:rFonts w:ascii="Arial" w:hAnsi="Arial" w:cs="Arial"/>
          <w:bCs/>
          <w:shd w:val="clear" w:color="auto" w:fill="FFFFFF"/>
          <w:lang w:val="en-US"/>
        </w:rPr>
        <w:t xml:space="preserve"> </w:t>
      </w:r>
      <w:proofErr w:type="spellStart"/>
      <w:r w:rsidRPr="00C81F37">
        <w:rPr>
          <w:rFonts w:ascii="Arial" w:hAnsi="Arial" w:cs="Arial"/>
          <w:bCs/>
          <w:shd w:val="clear" w:color="auto" w:fill="FFFFFF"/>
          <w:lang w:val="en-US"/>
        </w:rPr>
        <w:t>Polskiego</w:t>
      </w:r>
      <w:proofErr w:type="spellEnd"/>
      <w:r w:rsidRPr="00C81F37">
        <w:rPr>
          <w:rFonts w:ascii="Arial" w:hAnsi="Arial" w:cs="Arial"/>
          <w:bCs/>
          <w:shd w:val="clear" w:color="auto" w:fill="FFFFFF"/>
          <w:lang w:val="en-US"/>
        </w:rPr>
        <w:t xml:space="preserve"> </w:t>
      </w:r>
      <w:proofErr w:type="spellStart"/>
      <w:r w:rsidRPr="00C81F37">
        <w:rPr>
          <w:rFonts w:ascii="Arial" w:hAnsi="Arial" w:cs="Arial"/>
          <w:bCs/>
          <w:shd w:val="clear" w:color="auto" w:fill="FFFFFF"/>
          <w:lang w:val="en-US"/>
        </w:rPr>
        <w:t>Towarzystwa</w:t>
      </w:r>
      <w:proofErr w:type="spellEnd"/>
      <w:r w:rsidRPr="00C81F37">
        <w:rPr>
          <w:rFonts w:ascii="Arial" w:hAnsi="Arial" w:cs="Arial"/>
          <w:bCs/>
          <w:shd w:val="clear" w:color="auto" w:fill="FFFFFF"/>
          <w:lang w:val="en-US"/>
        </w:rPr>
        <w:t xml:space="preserve"> </w:t>
      </w:r>
      <w:proofErr w:type="spellStart"/>
      <w:r w:rsidRPr="00C81F37">
        <w:rPr>
          <w:rFonts w:ascii="Arial" w:hAnsi="Arial" w:cs="Arial"/>
          <w:bCs/>
          <w:shd w:val="clear" w:color="auto" w:fill="FFFFFF"/>
          <w:lang w:val="en-US"/>
        </w:rPr>
        <w:t>Endokrynologicznego</w:t>
      </w:r>
      <w:proofErr w:type="spellEnd"/>
    </w:p>
    <w:p w:rsidR="00900A5C" w:rsidRDefault="00900A5C" w:rsidP="00082450">
      <w:pPr>
        <w:pStyle w:val="Akapitzlist"/>
        <w:numPr>
          <w:ilvl w:val="0"/>
          <w:numId w:val="27"/>
        </w:numPr>
        <w:spacing w:line="360" w:lineRule="auto"/>
        <w:ind w:left="709"/>
        <w:rPr>
          <w:rFonts w:ascii="Arial" w:hAnsi="Arial" w:cs="Arial"/>
          <w:bCs/>
          <w:shd w:val="clear" w:color="auto" w:fill="FFFFFF"/>
        </w:rPr>
      </w:pPr>
      <w:r>
        <w:rPr>
          <w:rFonts w:ascii="Arial" w:hAnsi="Arial" w:cs="Arial"/>
          <w:bCs/>
          <w:shd w:val="clear" w:color="auto" w:fill="FFFFFF"/>
        </w:rPr>
        <w:t>Kongresów Akademii po Dyplomie</w:t>
      </w:r>
    </w:p>
    <w:p w:rsidR="00900A5C" w:rsidRDefault="00900A5C" w:rsidP="00082450">
      <w:pPr>
        <w:pStyle w:val="Akapitzlist"/>
        <w:numPr>
          <w:ilvl w:val="0"/>
          <w:numId w:val="27"/>
        </w:numPr>
        <w:spacing w:line="360" w:lineRule="auto"/>
        <w:ind w:left="709"/>
        <w:rPr>
          <w:rFonts w:ascii="Arial" w:hAnsi="Arial" w:cs="Arial"/>
          <w:bCs/>
          <w:shd w:val="clear" w:color="auto" w:fill="FFFFFF"/>
        </w:rPr>
      </w:pPr>
      <w:r>
        <w:rPr>
          <w:rFonts w:ascii="Arial" w:hAnsi="Arial" w:cs="Arial"/>
          <w:bCs/>
          <w:shd w:val="clear" w:color="auto" w:fill="FFFFFF"/>
        </w:rPr>
        <w:t>Kongresów Wielkiej Interny</w:t>
      </w:r>
    </w:p>
    <w:p w:rsidR="00900A5C" w:rsidRDefault="00186073" w:rsidP="00082450">
      <w:pPr>
        <w:pStyle w:val="Akapitzlist"/>
        <w:numPr>
          <w:ilvl w:val="0"/>
          <w:numId w:val="27"/>
        </w:numPr>
        <w:spacing w:line="360" w:lineRule="auto"/>
        <w:ind w:left="709"/>
        <w:rPr>
          <w:rFonts w:ascii="Arial" w:hAnsi="Arial" w:cs="Arial"/>
          <w:bCs/>
          <w:shd w:val="clear" w:color="auto" w:fill="FFFFFF"/>
        </w:rPr>
      </w:pPr>
      <w:r>
        <w:rPr>
          <w:rFonts w:ascii="Arial" w:hAnsi="Arial" w:cs="Arial"/>
          <w:bCs/>
          <w:shd w:val="clear" w:color="auto" w:fill="FFFFFF"/>
        </w:rPr>
        <w:t>w</w:t>
      </w:r>
      <w:r w:rsidR="00900A5C">
        <w:rPr>
          <w:rFonts w:ascii="Arial" w:hAnsi="Arial" w:cs="Arial"/>
          <w:bCs/>
          <w:shd w:val="clear" w:color="auto" w:fill="FFFFFF"/>
        </w:rPr>
        <w:t>arsztatów organizowanych przez Towarzystwo Internistów Polskich i Medycynę Praktyczną</w:t>
      </w:r>
    </w:p>
    <w:p w:rsidR="0093636E" w:rsidRDefault="001C0950" w:rsidP="00082450">
      <w:pPr>
        <w:pStyle w:val="Akapitzlist"/>
        <w:numPr>
          <w:ilvl w:val="0"/>
          <w:numId w:val="27"/>
        </w:numPr>
        <w:spacing w:line="360" w:lineRule="auto"/>
        <w:ind w:left="709"/>
        <w:rPr>
          <w:rFonts w:ascii="Arial" w:hAnsi="Arial" w:cs="Arial"/>
          <w:bCs/>
          <w:shd w:val="clear" w:color="auto" w:fill="FFFFFF"/>
        </w:rPr>
      </w:pPr>
      <w:r>
        <w:rPr>
          <w:rFonts w:ascii="Arial" w:hAnsi="Arial" w:cs="Arial"/>
          <w:bCs/>
          <w:shd w:val="clear" w:color="auto" w:fill="FFFFFF"/>
        </w:rPr>
        <w:t>„</w:t>
      </w:r>
      <w:proofErr w:type="spellStart"/>
      <w:r w:rsidR="004D2551" w:rsidRPr="00186073">
        <w:rPr>
          <w:rFonts w:ascii="Arial" w:hAnsi="Arial" w:cs="Arial"/>
          <w:bCs/>
          <w:shd w:val="clear" w:color="auto" w:fill="FFFFFF"/>
        </w:rPr>
        <w:t>Course</w:t>
      </w:r>
      <w:proofErr w:type="spellEnd"/>
      <w:r w:rsidR="004D2551" w:rsidRPr="00186073">
        <w:rPr>
          <w:rFonts w:ascii="Arial" w:hAnsi="Arial" w:cs="Arial"/>
          <w:bCs/>
          <w:shd w:val="clear" w:color="auto" w:fill="FFFFFF"/>
        </w:rPr>
        <w:t xml:space="preserve"> on </w:t>
      </w:r>
      <w:proofErr w:type="spellStart"/>
      <w:r w:rsidR="004D2551" w:rsidRPr="00186073">
        <w:rPr>
          <w:rFonts w:ascii="Arial" w:hAnsi="Arial" w:cs="Arial"/>
          <w:bCs/>
          <w:shd w:val="clear" w:color="auto" w:fill="FFFFFF"/>
        </w:rPr>
        <w:t>endocrine</w:t>
      </w:r>
      <w:proofErr w:type="spellEnd"/>
      <w:r w:rsidR="004D2551" w:rsidRPr="00186073">
        <w:rPr>
          <w:rFonts w:ascii="Arial" w:hAnsi="Arial" w:cs="Arial"/>
          <w:bCs/>
          <w:shd w:val="clear" w:color="auto" w:fill="FFFFFF"/>
        </w:rPr>
        <w:t xml:space="preserve"> </w:t>
      </w:r>
      <w:proofErr w:type="spellStart"/>
      <w:r w:rsidR="004D2551" w:rsidRPr="00186073">
        <w:rPr>
          <w:rFonts w:ascii="Arial" w:hAnsi="Arial" w:cs="Arial"/>
          <w:bCs/>
          <w:shd w:val="clear" w:color="auto" w:fill="FFFFFF"/>
        </w:rPr>
        <w:t>diseases</w:t>
      </w:r>
      <w:proofErr w:type="spellEnd"/>
      <w:r w:rsidR="004D2551" w:rsidRPr="00186073">
        <w:rPr>
          <w:rFonts w:ascii="Arial" w:hAnsi="Arial" w:cs="Arial"/>
          <w:bCs/>
          <w:shd w:val="clear" w:color="auto" w:fill="FFFFFF"/>
        </w:rPr>
        <w:t xml:space="preserve"> </w:t>
      </w:r>
      <w:proofErr w:type="spellStart"/>
      <w:r w:rsidR="004D2551" w:rsidRPr="00186073">
        <w:rPr>
          <w:rFonts w:ascii="Arial" w:hAnsi="Arial" w:cs="Arial"/>
          <w:bCs/>
          <w:shd w:val="clear" w:color="auto" w:fill="FFFFFF"/>
        </w:rPr>
        <w:t>in</w:t>
      </w:r>
      <w:proofErr w:type="spellEnd"/>
      <w:r w:rsidR="004D2551" w:rsidRPr="00186073">
        <w:rPr>
          <w:rFonts w:ascii="Arial" w:hAnsi="Arial" w:cs="Arial"/>
          <w:bCs/>
          <w:shd w:val="clear" w:color="auto" w:fill="FFFFFF"/>
        </w:rPr>
        <w:t xml:space="preserve"> </w:t>
      </w:r>
      <w:proofErr w:type="spellStart"/>
      <w:r w:rsidR="004D2551" w:rsidRPr="00186073">
        <w:rPr>
          <w:rFonts w:ascii="Arial" w:hAnsi="Arial" w:cs="Arial"/>
          <w:bCs/>
          <w:shd w:val="clear" w:color="auto" w:fill="FFFFFF"/>
        </w:rPr>
        <w:t>pregnancy</w:t>
      </w:r>
      <w:proofErr w:type="spellEnd"/>
      <w:r>
        <w:rPr>
          <w:rFonts w:ascii="Arial" w:hAnsi="Arial" w:cs="Arial"/>
          <w:bCs/>
          <w:shd w:val="clear" w:color="auto" w:fill="FFFFFF"/>
        </w:rPr>
        <w:t>”</w:t>
      </w:r>
      <w:r w:rsidR="00186073" w:rsidRPr="00186073">
        <w:rPr>
          <w:rFonts w:ascii="Arial" w:hAnsi="Arial" w:cs="Arial"/>
          <w:bCs/>
          <w:shd w:val="clear" w:color="auto" w:fill="FFFFFF"/>
        </w:rPr>
        <w:t xml:space="preserve"> organizowany przez Europejskie Towarzystwo Endokrynologiczne</w:t>
      </w:r>
    </w:p>
    <w:p w:rsidR="0004773F" w:rsidRDefault="00136DA1" w:rsidP="00082450">
      <w:pPr>
        <w:pStyle w:val="Akapitzlist"/>
        <w:numPr>
          <w:ilvl w:val="0"/>
          <w:numId w:val="27"/>
        </w:numPr>
        <w:spacing w:line="360" w:lineRule="auto"/>
        <w:ind w:left="709"/>
        <w:rPr>
          <w:rFonts w:ascii="Arial" w:hAnsi="Arial" w:cs="Arial"/>
          <w:bCs/>
          <w:shd w:val="clear" w:color="auto" w:fill="FFFFFF"/>
        </w:rPr>
      </w:pPr>
      <w:r>
        <w:rPr>
          <w:rFonts w:ascii="Arial" w:hAnsi="Arial" w:cs="Arial"/>
          <w:bCs/>
          <w:shd w:val="clear" w:color="auto" w:fill="FFFFFF"/>
        </w:rPr>
        <w:t xml:space="preserve">Krajowej Konferencji Szkoleniowej </w:t>
      </w:r>
      <w:r w:rsidR="001C0950">
        <w:rPr>
          <w:rFonts w:ascii="Arial" w:hAnsi="Arial" w:cs="Arial"/>
          <w:bCs/>
          <w:shd w:val="clear" w:color="auto" w:fill="FFFFFF"/>
        </w:rPr>
        <w:t>Towarzystwa Internistów Polskich</w:t>
      </w:r>
    </w:p>
    <w:p w:rsidR="0004773F" w:rsidRDefault="0004773F" w:rsidP="00082450">
      <w:pPr>
        <w:pStyle w:val="Akapitzlist"/>
        <w:numPr>
          <w:ilvl w:val="0"/>
          <w:numId w:val="27"/>
        </w:numPr>
        <w:spacing w:line="360" w:lineRule="auto"/>
        <w:ind w:left="709"/>
        <w:rPr>
          <w:rFonts w:ascii="Arial" w:hAnsi="Arial" w:cs="Arial"/>
          <w:bCs/>
          <w:shd w:val="clear" w:color="auto" w:fill="FFFFFF"/>
        </w:rPr>
      </w:pPr>
      <w:r>
        <w:rPr>
          <w:rFonts w:ascii="Arial" w:hAnsi="Arial" w:cs="Arial"/>
          <w:bCs/>
          <w:shd w:val="clear" w:color="auto" w:fill="FFFFFF"/>
        </w:rPr>
        <w:t>Zjazdu Polskiego Towarzystwa Endokrynologii Onkologicznej</w:t>
      </w:r>
    </w:p>
    <w:p w:rsidR="00900A5C" w:rsidRDefault="0004773F" w:rsidP="00082450">
      <w:pPr>
        <w:pStyle w:val="Akapitzlist"/>
        <w:numPr>
          <w:ilvl w:val="0"/>
          <w:numId w:val="27"/>
        </w:numPr>
        <w:spacing w:line="360" w:lineRule="auto"/>
        <w:ind w:left="709"/>
        <w:rPr>
          <w:rFonts w:ascii="Arial" w:hAnsi="Arial" w:cs="Arial"/>
          <w:bCs/>
          <w:shd w:val="clear" w:color="auto" w:fill="FFFFFF"/>
        </w:rPr>
      </w:pPr>
      <w:r>
        <w:rPr>
          <w:rFonts w:ascii="Arial" w:hAnsi="Arial" w:cs="Arial"/>
          <w:bCs/>
          <w:shd w:val="clear" w:color="auto" w:fill="FFFFFF"/>
        </w:rPr>
        <w:t>Zjazdu Polskiego Tow</w:t>
      </w:r>
      <w:r w:rsidR="004972D1">
        <w:rPr>
          <w:rFonts w:ascii="Arial" w:hAnsi="Arial" w:cs="Arial"/>
          <w:bCs/>
          <w:shd w:val="clear" w:color="auto" w:fill="FFFFFF"/>
        </w:rPr>
        <w:t>a</w:t>
      </w:r>
      <w:r>
        <w:rPr>
          <w:rFonts w:ascii="Arial" w:hAnsi="Arial" w:cs="Arial"/>
          <w:bCs/>
          <w:shd w:val="clear" w:color="auto" w:fill="FFFFFF"/>
        </w:rPr>
        <w:t xml:space="preserve">rzystwa Bólów Głowy  </w:t>
      </w:r>
      <w:r w:rsidR="00186073" w:rsidRPr="00186073">
        <w:rPr>
          <w:rFonts w:ascii="Arial" w:hAnsi="Arial" w:cs="Arial"/>
          <w:bCs/>
          <w:shd w:val="clear" w:color="auto" w:fill="FFFFFF"/>
        </w:rPr>
        <w:t xml:space="preserve">  </w:t>
      </w:r>
    </w:p>
    <w:p w:rsidR="005C0471" w:rsidRPr="000B57DD" w:rsidRDefault="00C46CEC" w:rsidP="000B57DD">
      <w:pPr>
        <w:pStyle w:val="Akapitzlist"/>
        <w:numPr>
          <w:ilvl w:val="0"/>
          <w:numId w:val="27"/>
        </w:numPr>
        <w:spacing w:line="360" w:lineRule="auto"/>
        <w:ind w:left="709"/>
        <w:rPr>
          <w:rFonts w:ascii="Arial" w:hAnsi="Arial" w:cs="Arial"/>
          <w:bCs/>
          <w:shd w:val="clear" w:color="auto" w:fill="FFFFFF"/>
        </w:rPr>
      </w:pPr>
      <w:r>
        <w:rPr>
          <w:rFonts w:ascii="Arial" w:hAnsi="Arial" w:cs="Arial"/>
          <w:bCs/>
          <w:shd w:val="clear" w:color="auto" w:fill="FFFFFF"/>
        </w:rPr>
        <w:t xml:space="preserve">Podlaskich Spotkań  Diabetologicznych i Endokrynologicznych  </w:t>
      </w:r>
    </w:p>
    <w:p w:rsidR="002078C5" w:rsidRDefault="002078C5" w:rsidP="001235DF">
      <w:pPr>
        <w:spacing w:line="360" w:lineRule="auto"/>
        <w:ind w:firstLine="708"/>
        <w:jc w:val="both"/>
        <w:rPr>
          <w:rFonts w:ascii="Arial" w:hAnsi="Arial" w:cs="Arial"/>
          <w:bCs/>
          <w:shd w:val="clear" w:color="auto" w:fill="FFFFFF"/>
        </w:rPr>
      </w:pPr>
      <w:r>
        <w:rPr>
          <w:rFonts w:ascii="Arial" w:hAnsi="Arial" w:cs="Arial"/>
          <w:bCs/>
          <w:shd w:val="clear" w:color="auto" w:fill="FFFFFF"/>
        </w:rPr>
        <w:lastRenderedPageBreak/>
        <w:t xml:space="preserve">Jestem autorem lub współautorem </w:t>
      </w:r>
      <w:r w:rsidR="00461FFF" w:rsidRPr="00500356">
        <w:rPr>
          <w:rFonts w:ascii="Arial" w:hAnsi="Arial" w:cs="Arial"/>
          <w:bCs/>
          <w:shd w:val="clear" w:color="auto" w:fill="FFFFFF"/>
        </w:rPr>
        <w:t>19</w:t>
      </w:r>
      <w:r w:rsidRPr="00500356">
        <w:rPr>
          <w:rFonts w:ascii="Arial" w:hAnsi="Arial" w:cs="Arial"/>
          <w:bCs/>
          <w:shd w:val="clear" w:color="auto" w:fill="FFFFFF"/>
        </w:rPr>
        <w:t xml:space="preserve"> r</w:t>
      </w:r>
      <w:r>
        <w:rPr>
          <w:rFonts w:ascii="Arial" w:hAnsi="Arial" w:cs="Arial"/>
          <w:bCs/>
          <w:shd w:val="clear" w:color="auto" w:fill="FFFFFF"/>
        </w:rPr>
        <w:t xml:space="preserve">ozdziałów w monografiach/podręcznikach z dziedziny endokrynologii. </w:t>
      </w:r>
      <w:r w:rsidR="00025CD1">
        <w:rPr>
          <w:rFonts w:ascii="Arial" w:hAnsi="Arial" w:cs="Arial"/>
          <w:bCs/>
          <w:shd w:val="clear" w:color="auto" w:fill="FFFFFF"/>
        </w:rPr>
        <w:t>Trzy</w:t>
      </w:r>
      <w:r w:rsidR="00833752">
        <w:rPr>
          <w:rFonts w:ascii="Arial" w:hAnsi="Arial" w:cs="Arial"/>
          <w:bCs/>
          <w:shd w:val="clear" w:color="auto" w:fill="FFFFFF"/>
        </w:rPr>
        <w:t xml:space="preserve"> główne pozycje gdzie jestem </w:t>
      </w:r>
      <w:r w:rsidR="00025CD1">
        <w:rPr>
          <w:rFonts w:ascii="Arial" w:hAnsi="Arial" w:cs="Arial"/>
          <w:bCs/>
          <w:shd w:val="clear" w:color="auto" w:fill="FFFFFF"/>
        </w:rPr>
        <w:t xml:space="preserve">autorem lub </w:t>
      </w:r>
      <w:r w:rsidR="00702C43">
        <w:rPr>
          <w:rFonts w:ascii="Arial" w:hAnsi="Arial" w:cs="Arial"/>
          <w:bCs/>
          <w:shd w:val="clear" w:color="auto" w:fill="FFFFFF"/>
        </w:rPr>
        <w:t>współ</w:t>
      </w:r>
      <w:r w:rsidR="00833752">
        <w:rPr>
          <w:rFonts w:ascii="Arial" w:hAnsi="Arial" w:cs="Arial"/>
          <w:bCs/>
          <w:shd w:val="clear" w:color="auto" w:fill="FFFFFF"/>
        </w:rPr>
        <w:t xml:space="preserve">autorem wielu rozdziałów </w:t>
      </w:r>
      <w:r w:rsidR="00461FFF">
        <w:rPr>
          <w:rFonts w:ascii="Arial" w:hAnsi="Arial" w:cs="Arial"/>
          <w:bCs/>
          <w:shd w:val="clear" w:color="auto" w:fill="FFFFFF"/>
        </w:rPr>
        <w:t>to</w:t>
      </w:r>
      <w:r>
        <w:rPr>
          <w:rFonts w:ascii="Arial" w:hAnsi="Arial" w:cs="Arial"/>
          <w:bCs/>
          <w:shd w:val="clear" w:color="auto" w:fill="FFFFFF"/>
        </w:rPr>
        <w:t>:</w:t>
      </w:r>
    </w:p>
    <w:p w:rsidR="002078C5" w:rsidRDefault="00C61469" w:rsidP="00082450">
      <w:pPr>
        <w:spacing w:line="240" w:lineRule="auto"/>
        <w:rPr>
          <w:rFonts w:ascii="Arial" w:hAnsi="Arial" w:cs="Arial"/>
          <w:shd w:val="clear" w:color="auto" w:fill="FFFFFF"/>
        </w:rPr>
      </w:pPr>
      <w:r w:rsidRPr="003A1A62">
        <w:rPr>
          <w:rFonts w:ascii="Arial" w:hAnsi="Arial" w:cs="Arial"/>
          <w:shd w:val="clear" w:color="auto" w:fill="FFFFFF"/>
        </w:rPr>
        <w:t>Podstawy endo</w:t>
      </w:r>
      <w:r w:rsidR="000B57DD">
        <w:rPr>
          <w:rFonts w:ascii="Arial" w:hAnsi="Arial" w:cs="Arial"/>
          <w:shd w:val="clear" w:color="auto" w:fill="FFFFFF"/>
        </w:rPr>
        <w:t>krynologii. Wydanie I. Warszawa,</w:t>
      </w:r>
      <w:r w:rsidRPr="003A1A62">
        <w:rPr>
          <w:rFonts w:ascii="Arial" w:hAnsi="Arial" w:cs="Arial"/>
          <w:shd w:val="clear" w:color="auto" w:fill="FFFFFF"/>
        </w:rPr>
        <w:t xml:space="preserve"> ITEM </w:t>
      </w:r>
      <w:proofErr w:type="spellStart"/>
      <w:r w:rsidRPr="003A1A62">
        <w:rPr>
          <w:rFonts w:ascii="Arial" w:hAnsi="Arial" w:cs="Arial"/>
          <w:shd w:val="clear" w:color="auto" w:fill="FFFFFF"/>
        </w:rPr>
        <w:t>Publishing</w:t>
      </w:r>
      <w:proofErr w:type="spellEnd"/>
      <w:r w:rsidRPr="003A1A62">
        <w:rPr>
          <w:rFonts w:ascii="Arial" w:hAnsi="Arial" w:cs="Arial"/>
          <w:shd w:val="clear" w:color="auto" w:fill="FFFFFF"/>
        </w:rPr>
        <w:t xml:space="preserve"> Sp. z o.o. Sp. k., 2017</w:t>
      </w:r>
      <w:r w:rsidRPr="00C05A4D">
        <w:rPr>
          <w:rFonts w:ascii="Arial" w:hAnsi="Arial" w:cs="Arial"/>
          <w:shd w:val="clear" w:color="auto" w:fill="FFFFFF"/>
        </w:rPr>
        <w:t>. ISBN 978-83</w:t>
      </w:r>
      <w:r>
        <w:rPr>
          <w:rFonts w:ascii="Arial" w:hAnsi="Arial" w:cs="Arial"/>
          <w:shd w:val="clear" w:color="auto" w:fill="FFFFFF"/>
        </w:rPr>
        <w:t>-65747-35-8</w:t>
      </w:r>
      <w:r w:rsidRPr="003A1A62">
        <w:rPr>
          <w:rFonts w:ascii="Arial" w:hAnsi="Arial" w:cs="Arial"/>
          <w:shd w:val="clear" w:color="auto" w:fill="FFFFFF"/>
        </w:rPr>
        <w:t xml:space="preserve">.  </w:t>
      </w:r>
    </w:p>
    <w:p w:rsidR="00526E52" w:rsidRDefault="00833752" w:rsidP="00082450">
      <w:pPr>
        <w:widowControl w:val="0"/>
        <w:tabs>
          <w:tab w:val="right" w:leader="dot" w:pos="14742"/>
        </w:tabs>
        <w:spacing w:after="0" w:line="240" w:lineRule="auto"/>
        <w:ind w:right="675"/>
        <w:rPr>
          <w:rStyle w:val="apple-converted-space"/>
          <w:rFonts w:ascii="Arial" w:hAnsi="Arial" w:cs="Arial"/>
          <w:shd w:val="clear" w:color="auto" w:fill="FFFFFF"/>
        </w:rPr>
      </w:pPr>
      <w:bookmarkStart w:id="0" w:name="_GoBack"/>
      <w:r w:rsidRPr="00833752">
        <w:rPr>
          <w:rFonts w:ascii="Arial" w:hAnsi="Arial" w:cs="Arial"/>
          <w:shd w:val="clear" w:color="auto" w:fill="FFFFFF"/>
        </w:rPr>
        <w:t xml:space="preserve">Endokrynologia w przypadkach klinicznych. Wydanie I. Kraków, Medycyna Praktyczna, 2014. </w:t>
      </w:r>
      <w:r w:rsidRPr="00833752">
        <w:rPr>
          <w:rStyle w:val="apple-converted-space"/>
          <w:rFonts w:ascii="Arial" w:hAnsi="Arial" w:cs="Arial"/>
          <w:shd w:val="clear" w:color="auto" w:fill="FFFFFF"/>
        </w:rPr>
        <w:t> ISBN 978-83-7430-408-5.</w:t>
      </w:r>
    </w:p>
    <w:p w:rsidR="00833752" w:rsidRDefault="00833752" w:rsidP="00082450">
      <w:pPr>
        <w:widowControl w:val="0"/>
        <w:tabs>
          <w:tab w:val="right" w:leader="dot" w:pos="14742"/>
        </w:tabs>
        <w:spacing w:after="0" w:line="240" w:lineRule="auto"/>
        <w:ind w:right="675"/>
        <w:rPr>
          <w:rStyle w:val="apple-converted-space"/>
          <w:rFonts w:ascii="Arial" w:hAnsi="Arial" w:cs="Arial"/>
          <w:shd w:val="clear" w:color="auto" w:fill="FFFFFF"/>
        </w:rPr>
      </w:pPr>
    </w:p>
    <w:p w:rsidR="007D6208" w:rsidRDefault="007D6208" w:rsidP="00082450">
      <w:pPr>
        <w:widowControl w:val="0"/>
        <w:tabs>
          <w:tab w:val="right" w:leader="dot" w:pos="14742"/>
        </w:tabs>
        <w:spacing w:after="0" w:line="240" w:lineRule="auto"/>
        <w:ind w:right="675"/>
        <w:rPr>
          <w:rFonts w:ascii="Arial" w:hAnsi="Arial" w:cs="Arial"/>
          <w:shd w:val="clear" w:color="auto" w:fill="FFFFFF"/>
        </w:rPr>
      </w:pPr>
      <w:r>
        <w:rPr>
          <w:rStyle w:val="apple-converted-space"/>
          <w:rFonts w:ascii="Arial" w:hAnsi="Arial" w:cs="Arial"/>
          <w:shd w:val="clear" w:color="auto" w:fill="FFFFFF"/>
        </w:rPr>
        <w:t xml:space="preserve">Stany Nagłe. </w:t>
      </w:r>
      <w:proofErr w:type="spellStart"/>
      <w:r w:rsidRPr="00636C65">
        <w:rPr>
          <w:rFonts w:ascii="Arial" w:hAnsi="Arial" w:cs="Arial"/>
          <w:shd w:val="clear" w:color="auto" w:fill="FFFFFF"/>
        </w:rPr>
        <w:t>Medical</w:t>
      </w:r>
      <w:proofErr w:type="spellEnd"/>
      <w:r w:rsidRPr="00636C65">
        <w:rPr>
          <w:rFonts w:ascii="Arial" w:hAnsi="Arial" w:cs="Arial"/>
          <w:shd w:val="clear" w:color="auto" w:fill="FFFFFF"/>
        </w:rPr>
        <w:t xml:space="preserve"> Tribune Polska</w:t>
      </w:r>
      <w:r w:rsidR="00025CD1">
        <w:rPr>
          <w:rFonts w:ascii="Arial" w:hAnsi="Arial" w:cs="Arial"/>
          <w:shd w:val="clear" w:color="auto" w:fill="FFFFFF"/>
        </w:rPr>
        <w:t>, ostatnie wydanie rok 2014.</w:t>
      </w:r>
      <w:r w:rsidR="00C46CEC">
        <w:rPr>
          <w:rFonts w:ascii="Arial" w:hAnsi="Arial" w:cs="Arial"/>
          <w:shd w:val="clear" w:color="auto" w:fill="FFFFFF"/>
        </w:rPr>
        <w:t xml:space="preserve"> ISBN 978-83-64153-11-2.</w:t>
      </w:r>
    </w:p>
    <w:p w:rsidR="00025CD1" w:rsidRDefault="00025CD1" w:rsidP="00082450">
      <w:pPr>
        <w:widowControl w:val="0"/>
        <w:tabs>
          <w:tab w:val="right" w:leader="dot" w:pos="14742"/>
        </w:tabs>
        <w:spacing w:after="0" w:line="240" w:lineRule="auto"/>
        <w:ind w:right="675"/>
        <w:rPr>
          <w:rStyle w:val="apple-converted-space"/>
          <w:rFonts w:ascii="Arial" w:hAnsi="Arial" w:cs="Arial"/>
          <w:shd w:val="clear" w:color="auto" w:fill="FFFFFF"/>
        </w:rPr>
      </w:pPr>
    </w:p>
    <w:p w:rsidR="007D6208" w:rsidRDefault="007D6208" w:rsidP="001235DF">
      <w:pPr>
        <w:widowControl w:val="0"/>
        <w:tabs>
          <w:tab w:val="right" w:leader="dot" w:pos="14742"/>
        </w:tabs>
        <w:spacing w:after="0" w:line="240" w:lineRule="auto"/>
        <w:ind w:right="675"/>
        <w:jc w:val="both"/>
        <w:rPr>
          <w:rStyle w:val="apple-converted-space"/>
          <w:rFonts w:ascii="Arial" w:hAnsi="Arial" w:cs="Arial"/>
          <w:shd w:val="clear" w:color="auto" w:fill="FFFFFF"/>
        </w:rPr>
      </w:pPr>
      <w:r>
        <w:rPr>
          <w:rStyle w:val="apple-converted-space"/>
          <w:rFonts w:ascii="Arial" w:hAnsi="Arial" w:cs="Arial"/>
          <w:shd w:val="clear" w:color="auto" w:fill="FFFFFF"/>
        </w:rPr>
        <w:t xml:space="preserve"> </w:t>
      </w:r>
    </w:p>
    <w:p w:rsidR="00833752" w:rsidRDefault="00833752" w:rsidP="001235DF">
      <w:pPr>
        <w:widowControl w:val="0"/>
        <w:tabs>
          <w:tab w:val="right" w:leader="dot" w:pos="14742"/>
        </w:tabs>
        <w:spacing w:after="0" w:line="240" w:lineRule="auto"/>
        <w:ind w:right="675"/>
        <w:jc w:val="both"/>
        <w:rPr>
          <w:rStyle w:val="apple-converted-space"/>
          <w:rFonts w:ascii="Arial" w:hAnsi="Arial" w:cs="Arial"/>
          <w:shd w:val="clear" w:color="auto" w:fill="FFFFFF"/>
        </w:rPr>
      </w:pPr>
      <w:r w:rsidRPr="00833752">
        <w:rPr>
          <w:rStyle w:val="apple-converted-space"/>
          <w:rFonts w:ascii="Arial" w:hAnsi="Arial" w:cs="Arial"/>
          <w:shd w:val="clear" w:color="auto" w:fill="FFFFFF"/>
        </w:rPr>
        <w:t xml:space="preserve">Jestem </w:t>
      </w:r>
      <w:r w:rsidR="0013540D">
        <w:rPr>
          <w:rStyle w:val="apple-converted-space"/>
          <w:rFonts w:ascii="Arial" w:hAnsi="Arial" w:cs="Arial"/>
          <w:shd w:val="clear" w:color="auto" w:fill="FFFFFF"/>
        </w:rPr>
        <w:t>współ</w:t>
      </w:r>
      <w:r w:rsidRPr="00833752">
        <w:rPr>
          <w:rStyle w:val="apple-converted-space"/>
          <w:rFonts w:ascii="Arial" w:hAnsi="Arial" w:cs="Arial"/>
          <w:shd w:val="clear" w:color="auto" w:fill="FFFFFF"/>
        </w:rPr>
        <w:t xml:space="preserve">autorem </w:t>
      </w:r>
      <w:r w:rsidR="0013540D">
        <w:rPr>
          <w:rStyle w:val="apple-converted-space"/>
          <w:rFonts w:ascii="Arial" w:hAnsi="Arial" w:cs="Arial"/>
          <w:shd w:val="clear" w:color="auto" w:fill="FFFFFF"/>
        </w:rPr>
        <w:t xml:space="preserve">polskich </w:t>
      </w:r>
      <w:r w:rsidRPr="00833752">
        <w:rPr>
          <w:rStyle w:val="apple-converted-space"/>
          <w:rFonts w:ascii="Arial" w:hAnsi="Arial" w:cs="Arial"/>
          <w:shd w:val="clear" w:color="auto" w:fill="FFFFFF"/>
        </w:rPr>
        <w:t xml:space="preserve">zaleceń </w:t>
      </w:r>
      <w:r w:rsidR="0013540D">
        <w:rPr>
          <w:rStyle w:val="apple-converted-space"/>
          <w:rFonts w:ascii="Arial" w:hAnsi="Arial" w:cs="Arial"/>
          <w:shd w:val="clear" w:color="auto" w:fill="FFFFFF"/>
        </w:rPr>
        <w:t xml:space="preserve">dotyczących postępowania w </w:t>
      </w:r>
      <w:proofErr w:type="spellStart"/>
      <w:r w:rsidR="0013540D">
        <w:rPr>
          <w:rStyle w:val="apple-converted-space"/>
          <w:rFonts w:ascii="Arial" w:hAnsi="Arial" w:cs="Arial"/>
          <w:shd w:val="clear" w:color="auto" w:fill="FFFFFF"/>
        </w:rPr>
        <w:t>incyden</w:t>
      </w:r>
      <w:r w:rsidR="001C31BF">
        <w:rPr>
          <w:rStyle w:val="apple-converted-space"/>
          <w:rFonts w:ascii="Arial" w:hAnsi="Arial" w:cs="Arial"/>
          <w:shd w:val="clear" w:color="auto" w:fill="FFFFFF"/>
        </w:rPr>
        <w:t>taloma</w:t>
      </w:r>
      <w:proofErr w:type="spellEnd"/>
      <w:r w:rsidR="001C31BF">
        <w:rPr>
          <w:rStyle w:val="apple-converted-space"/>
          <w:rFonts w:ascii="Arial" w:hAnsi="Arial" w:cs="Arial"/>
          <w:shd w:val="clear" w:color="auto" w:fill="FFFFFF"/>
        </w:rPr>
        <w:t xml:space="preserve"> nadnerczy:</w:t>
      </w:r>
    </w:p>
    <w:p w:rsidR="001C31BF" w:rsidRDefault="001C31BF" w:rsidP="001235DF">
      <w:pPr>
        <w:widowControl w:val="0"/>
        <w:tabs>
          <w:tab w:val="right" w:leader="dot" w:pos="14742"/>
        </w:tabs>
        <w:spacing w:after="0" w:line="240" w:lineRule="auto"/>
        <w:ind w:right="675"/>
        <w:jc w:val="both"/>
        <w:rPr>
          <w:rStyle w:val="apple-converted-space"/>
          <w:rFonts w:ascii="Arial" w:hAnsi="Arial" w:cs="Arial"/>
          <w:shd w:val="clear" w:color="auto" w:fill="FFFFFF"/>
        </w:rPr>
      </w:pPr>
    </w:p>
    <w:p w:rsidR="0013540D" w:rsidRDefault="0013540D" w:rsidP="00082450">
      <w:pPr>
        <w:widowControl w:val="0"/>
        <w:tabs>
          <w:tab w:val="right" w:leader="dot" w:pos="14742"/>
        </w:tabs>
        <w:spacing w:after="0" w:line="240" w:lineRule="auto"/>
        <w:ind w:right="675"/>
        <w:rPr>
          <w:rFonts w:ascii="Arial" w:hAnsi="Arial" w:cs="Arial"/>
          <w:shd w:val="clear" w:color="auto" w:fill="FFFFFF"/>
        </w:rPr>
      </w:pPr>
      <w:r w:rsidRPr="004A7F2A">
        <w:rPr>
          <w:rFonts w:ascii="Arial" w:hAnsi="Arial" w:cs="Arial"/>
          <w:shd w:val="clear" w:color="auto" w:fill="FFFFFF"/>
        </w:rPr>
        <w:t xml:space="preserve">Bednarczuk T, Bolanowski M, </w:t>
      </w:r>
      <w:proofErr w:type="spellStart"/>
      <w:r w:rsidRPr="004A7F2A">
        <w:rPr>
          <w:rFonts w:ascii="Arial" w:hAnsi="Arial" w:cs="Arial"/>
          <w:shd w:val="clear" w:color="auto" w:fill="FFFFFF"/>
        </w:rPr>
        <w:t>Sworczak</w:t>
      </w:r>
      <w:proofErr w:type="spellEnd"/>
      <w:r w:rsidRPr="004A7F2A">
        <w:rPr>
          <w:rFonts w:ascii="Arial" w:hAnsi="Arial" w:cs="Arial"/>
          <w:shd w:val="clear" w:color="auto" w:fill="FFFFFF"/>
        </w:rPr>
        <w:t xml:space="preserve"> K, Górnicka B, Cieszanowski A, Otto M,</w:t>
      </w:r>
      <w:r w:rsidRPr="004A7F2A">
        <w:rPr>
          <w:rStyle w:val="apple-converted-space"/>
          <w:rFonts w:cs="Arial"/>
          <w:shd w:val="clear" w:color="auto" w:fill="FFFFFF"/>
        </w:rPr>
        <w:t> </w:t>
      </w:r>
      <w:r w:rsidRPr="004A7F2A">
        <w:rPr>
          <w:rFonts w:ascii="Arial" w:hAnsi="Arial" w:cs="Arial"/>
          <w:b/>
          <w:bCs/>
          <w:shd w:val="clear" w:color="auto" w:fill="FFFFFF"/>
        </w:rPr>
        <w:t>Ambroziak U</w:t>
      </w:r>
      <w:r w:rsidRPr="004A7F2A">
        <w:rPr>
          <w:rFonts w:ascii="Arial" w:hAnsi="Arial" w:cs="Arial"/>
          <w:shd w:val="clear" w:color="auto" w:fill="FFFFFF"/>
        </w:rPr>
        <w:t xml:space="preserve">, </w:t>
      </w:r>
      <w:proofErr w:type="spellStart"/>
      <w:r w:rsidRPr="004A7F2A">
        <w:rPr>
          <w:rFonts w:ascii="Arial" w:hAnsi="Arial" w:cs="Arial"/>
          <w:shd w:val="clear" w:color="auto" w:fill="FFFFFF"/>
        </w:rPr>
        <w:t>Pachucki</w:t>
      </w:r>
      <w:proofErr w:type="spellEnd"/>
      <w:r w:rsidRPr="004A7F2A">
        <w:rPr>
          <w:rFonts w:ascii="Arial" w:hAnsi="Arial" w:cs="Arial"/>
          <w:shd w:val="clear" w:color="auto" w:fill="FFFFFF"/>
        </w:rPr>
        <w:t xml:space="preserve"> J, Kubicka E, Babińska A, Koperski Ł, Januszewicz A, </w:t>
      </w:r>
      <w:proofErr w:type="spellStart"/>
      <w:r w:rsidRPr="004A7F2A">
        <w:rPr>
          <w:rFonts w:ascii="Arial" w:hAnsi="Arial" w:cs="Arial"/>
          <w:shd w:val="clear" w:color="auto" w:fill="FFFFFF"/>
        </w:rPr>
        <w:t>Prejbisz</w:t>
      </w:r>
      <w:proofErr w:type="spellEnd"/>
      <w:r w:rsidRPr="004A7F2A">
        <w:rPr>
          <w:rFonts w:ascii="Arial" w:hAnsi="Arial" w:cs="Arial"/>
          <w:shd w:val="clear" w:color="auto" w:fill="FFFFFF"/>
        </w:rPr>
        <w:t xml:space="preserve"> A, Górska M, Jarząb B, </w:t>
      </w:r>
      <w:proofErr w:type="spellStart"/>
      <w:r w:rsidRPr="004A7F2A">
        <w:rPr>
          <w:rFonts w:ascii="Arial" w:hAnsi="Arial" w:cs="Arial"/>
          <w:shd w:val="clear" w:color="auto" w:fill="FFFFFF"/>
        </w:rPr>
        <w:t>Hubalewska-Dydejczyk</w:t>
      </w:r>
      <w:proofErr w:type="spellEnd"/>
      <w:r w:rsidRPr="004A7F2A">
        <w:rPr>
          <w:rFonts w:ascii="Arial" w:hAnsi="Arial" w:cs="Arial"/>
          <w:shd w:val="clear" w:color="auto" w:fill="FFFFFF"/>
        </w:rPr>
        <w:t xml:space="preserve"> A, Glinicki P, Ruchała M, </w:t>
      </w:r>
      <w:proofErr w:type="spellStart"/>
      <w:r w:rsidRPr="004A7F2A">
        <w:rPr>
          <w:rFonts w:ascii="Arial" w:hAnsi="Arial" w:cs="Arial"/>
          <w:shd w:val="clear" w:color="auto" w:fill="FFFFFF"/>
        </w:rPr>
        <w:t>Kasperlik-Załuska</w:t>
      </w:r>
      <w:proofErr w:type="spellEnd"/>
      <w:r w:rsidRPr="004A7F2A">
        <w:rPr>
          <w:rFonts w:ascii="Arial" w:hAnsi="Arial" w:cs="Arial"/>
          <w:shd w:val="clear" w:color="auto" w:fill="FFFFFF"/>
        </w:rPr>
        <w:t xml:space="preserve"> A.</w:t>
      </w:r>
      <w:r w:rsidRPr="004A7F2A">
        <w:rPr>
          <w:rFonts w:ascii="Arial" w:hAnsi="Arial" w:cs="Arial"/>
        </w:rPr>
        <w:t xml:space="preserve"> </w:t>
      </w:r>
      <w:hyperlink r:id="rId28" w:history="1">
        <w:r w:rsidRPr="004A7F2A">
          <w:rPr>
            <w:rStyle w:val="Hipercze"/>
            <w:rFonts w:ascii="Arial" w:hAnsi="Arial" w:cs="Arial"/>
            <w:color w:val="auto"/>
            <w:u w:val="none"/>
            <w:shd w:val="clear" w:color="auto" w:fill="FFFFFF"/>
            <w:lang w:val="en-US"/>
          </w:rPr>
          <w:t xml:space="preserve">Adrenal </w:t>
        </w:r>
        <w:proofErr w:type="spellStart"/>
        <w:r w:rsidRPr="004A7F2A">
          <w:rPr>
            <w:rStyle w:val="Hipercze"/>
            <w:rFonts w:ascii="Arial" w:hAnsi="Arial" w:cs="Arial"/>
            <w:color w:val="auto"/>
            <w:u w:val="none"/>
            <w:shd w:val="clear" w:color="auto" w:fill="FFFFFF"/>
            <w:lang w:val="en-US"/>
          </w:rPr>
          <w:t>incidentaloma</w:t>
        </w:r>
        <w:proofErr w:type="spellEnd"/>
        <w:r w:rsidRPr="004A7F2A">
          <w:rPr>
            <w:rStyle w:val="Hipercze"/>
            <w:rFonts w:ascii="Arial" w:hAnsi="Arial" w:cs="Arial"/>
            <w:color w:val="auto"/>
            <w:u w:val="none"/>
            <w:shd w:val="clear" w:color="auto" w:fill="FFFFFF"/>
            <w:lang w:val="en-US"/>
          </w:rPr>
          <w:t xml:space="preserve"> in adults - management recommendations by the Polish Society of Endocrinology.</w:t>
        </w:r>
      </w:hyperlink>
      <w:r w:rsidRPr="004A7F2A">
        <w:rPr>
          <w:rStyle w:val="Nagwek3Znak"/>
          <w:rFonts w:eastAsiaTheme="minorHAnsi"/>
          <w:shd w:val="clear" w:color="auto" w:fill="FFFFFF"/>
          <w:lang w:val="en-US"/>
        </w:rPr>
        <w:t xml:space="preserve"> </w:t>
      </w:r>
      <w:proofErr w:type="spellStart"/>
      <w:r w:rsidRPr="004A7F2A">
        <w:rPr>
          <w:rStyle w:val="jrnl"/>
          <w:rFonts w:ascii="Arial" w:hAnsi="Arial" w:cs="Arial"/>
          <w:shd w:val="clear" w:color="auto" w:fill="FFFFFF"/>
        </w:rPr>
        <w:t>Endokrynol</w:t>
      </w:r>
      <w:proofErr w:type="spellEnd"/>
      <w:r w:rsidRPr="004A7F2A">
        <w:rPr>
          <w:rStyle w:val="jrnl"/>
          <w:rFonts w:ascii="Arial" w:hAnsi="Arial" w:cs="Arial"/>
          <w:shd w:val="clear" w:color="auto" w:fill="FFFFFF"/>
        </w:rPr>
        <w:t xml:space="preserve"> Pol</w:t>
      </w:r>
      <w:r w:rsidRPr="004A7F2A">
        <w:rPr>
          <w:rFonts w:ascii="Arial" w:hAnsi="Arial" w:cs="Arial"/>
          <w:shd w:val="clear" w:color="auto" w:fill="FFFFFF"/>
        </w:rPr>
        <w:t xml:space="preserve">. 2016;67(2):234-58. </w:t>
      </w:r>
    </w:p>
    <w:p w:rsidR="00177DB9" w:rsidRDefault="00177DB9" w:rsidP="001235DF">
      <w:pPr>
        <w:widowControl w:val="0"/>
        <w:tabs>
          <w:tab w:val="right" w:leader="dot" w:pos="14742"/>
        </w:tabs>
        <w:spacing w:after="0" w:line="240" w:lineRule="auto"/>
        <w:ind w:right="675"/>
        <w:rPr>
          <w:rFonts w:ascii="Arial" w:hAnsi="Arial" w:cs="Arial"/>
          <w:b/>
          <w:shd w:val="clear" w:color="auto" w:fill="FFFFFF"/>
        </w:rPr>
      </w:pPr>
    </w:p>
    <w:p w:rsidR="0013540D" w:rsidRPr="00177DB9" w:rsidRDefault="00177DB9" w:rsidP="001235DF">
      <w:pPr>
        <w:widowControl w:val="0"/>
        <w:tabs>
          <w:tab w:val="right" w:leader="dot" w:pos="14742"/>
        </w:tabs>
        <w:spacing w:after="0" w:line="240" w:lineRule="auto"/>
        <w:ind w:right="675"/>
        <w:rPr>
          <w:rFonts w:ascii="Arial" w:hAnsi="Arial" w:cs="Arial"/>
          <w:b/>
          <w:shd w:val="clear" w:color="auto" w:fill="FFFFFF"/>
        </w:rPr>
      </w:pPr>
      <w:r w:rsidRPr="00177DB9">
        <w:rPr>
          <w:rFonts w:ascii="Arial" w:hAnsi="Arial" w:cs="Arial"/>
          <w:b/>
          <w:shd w:val="clear" w:color="auto" w:fill="FFFFFF"/>
        </w:rPr>
        <w:t xml:space="preserve">IF 1,341 </w:t>
      </w:r>
      <w:proofErr w:type="spellStart"/>
      <w:r w:rsidRPr="00177DB9">
        <w:rPr>
          <w:rFonts w:ascii="Arial" w:hAnsi="Arial" w:cs="Arial"/>
          <w:b/>
          <w:shd w:val="clear" w:color="auto" w:fill="FFFFFF"/>
        </w:rPr>
        <w:t>MNiSW</w:t>
      </w:r>
      <w:proofErr w:type="spellEnd"/>
      <w:r w:rsidRPr="00177DB9">
        <w:rPr>
          <w:rFonts w:ascii="Arial" w:hAnsi="Arial" w:cs="Arial"/>
          <w:b/>
          <w:shd w:val="clear" w:color="auto" w:fill="FFFFFF"/>
        </w:rPr>
        <w:t xml:space="preserve"> 15</w:t>
      </w:r>
    </w:p>
    <w:p w:rsidR="00177DB9" w:rsidRDefault="00177DB9" w:rsidP="001235DF">
      <w:pPr>
        <w:widowControl w:val="0"/>
        <w:tabs>
          <w:tab w:val="right" w:leader="dot" w:pos="14742"/>
        </w:tabs>
        <w:spacing w:after="0" w:line="240" w:lineRule="auto"/>
        <w:ind w:right="675"/>
        <w:rPr>
          <w:rFonts w:ascii="Arial" w:hAnsi="Arial" w:cs="Arial"/>
          <w:shd w:val="clear" w:color="auto" w:fill="FFFFFF"/>
        </w:rPr>
      </w:pPr>
    </w:p>
    <w:p w:rsidR="005149EB" w:rsidRDefault="00833752" w:rsidP="000B57DD">
      <w:pPr>
        <w:widowControl w:val="0"/>
        <w:tabs>
          <w:tab w:val="right" w:leader="dot" w:pos="14742"/>
        </w:tabs>
        <w:spacing w:after="0" w:line="240" w:lineRule="auto"/>
        <w:ind w:right="675"/>
        <w:jc w:val="both"/>
        <w:rPr>
          <w:rFonts w:ascii="Arial" w:eastAsia="Calibri" w:hAnsi="Arial" w:cs="Arial"/>
          <w:b/>
        </w:rPr>
      </w:pPr>
      <w:r w:rsidRPr="00833752">
        <w:rPr>
          <w:rStyle w:val="apple-converted-space"/>
          <w:rFonts w:ascii="Arial" w:hAnsi="Arial" w:cs="Arial"/>
          <w:b/>
          <w:shd w:val="clear" w:color="auto" w:fill="FFFFFF"/>
        </w:rPr>
        <w:t xml:space="preserve">Działalność kliniczna i organizacyjna </w:t>
      </w:r>
    </w:p>
    <w:p w:rsidR="000B57DD" w:rsidRPr="000B57DD" w:rsidRDefault="000B57DD" w:rsidP="000B57DD">
      <w:pPr>
        <w:widowControl w:val="0"/>
        <w:tabs>
          <w:tab w:val="right" w:leader="dot" w:pos="14742"/>
        </w:tabs>
        <w:spacing w:after="0" w:line="240" w:lineRule="auto"/>
        <w:ind w:right="675"/>
        <w:jc w:val="both"/>
        <w:rPr>
          <w:rFonts w:ascii="Arial" w:eastAsia="Calibri" w:hAnsi="Arial" w:cs="Arial"/>
          <w:b/>
        </w:rPr>
      </w:pPr>
    </w:p>
    <w:p w:rsidR="00C46CEC" w:rsidRDefault="00AB5B36" w:rsidP="000B57DD">
      <w:pPr>
        <w:spacing w:line="360" w:lineRule="auto"/>
        <w:ind w:firstLine="708"/>
        <w:jc w:val="both"/>
        <w:rPr>
          <w:rFonts w:ascii="Arial" w:hAnsi="Arial" w:cs="Arial"/>
          <w:lang w:val="cs-CZ"/>
        </w:rPr>
      </w:pPr>
      <w:r>
        <w:rPr>
          <w:rFonts w:ascii="Arial" w:hAnsi="Arial" w:cs="Arial"/>
          <w:lang w:val="cs-CZ"/>
        </w:rPr>
        <w:t>W pracy klinicz</w:t>
      </w:r>
      <w:r w:rsidR="005149EB">
        <w:rPr>
          <w:rFonts w:ascii="Arial" w:hAnsi="Arial" w:cs="Arial"/>
          <w:lang w:val="cs-CZ"/>
        </w:rPr>
        <w:t xml:space="preserve">nej </w:t>
      </w:r>
      <w:r>
        <w:rPr>
          <w:rFonts w:ascii="Arial" w:hAnsi="Arial" w:cs="Arial"/>
          <w:lang w:val="cs-CZ"/>
        </w:rPr>
        <w:t xml:space="preserve">zajmuję się pacjentami </w:t>
      </w:r>
      <w:r w:rsidR="001671CA">
        <w:rPr>
          <w:rFonts w:ascii="Arial" w:hAnsi="Arial" w:cs="Arial"/>
          <w:lang w:val="cs-CZ"/>
        </w:rPr>
        <w:t xml:space="preserve">ze schorzeniami </w:t>
      </w:r>
      <w:r>
        <w:rPr>
          <w:rFonts w:ascii="Arial" w:hAnsi="Arial" w:cs="Arial"/>
          <w:lang w:val="cs-CZ"/>
        </w:rPr>
        <w:t>internis</w:t>
      </w:r>
      <w:r w:rsidR="005149EB">
        <w:rPr>
          <w:rFonts w:ascii="Arial" w:hAnsi="Arial" w:cs="Arial"/>
          <w:lang w:val="cs-CZ"/>
        </w:rPr>
        <w:t>t</w:t>
      </w:r>
      <w:r>
        <w:rPr>
          <w:rFonts w:ascii="Arial" w:hAnsi="Arial" w:cs="Arial"/>
          <w:lang w:val="cs-CZ"/>
        </w:rPr>
        <w:t>ycznymi oraz endokrynologicznymi. Jestem ordynatorem Odzi</w:t>
      </w:r>
      <w:r w:rsidR="005149EB">
        <w:rPr>
          <w:rFonts w:ascii="Arial" w:hAnsi="Arial" w:cs="Arial"/>
          <w:lang w:val="cs-CZ"/>
        </w:rPr>
        <w:t>ału Endokrynologii oraz zastę</w:t>
      </w:r>
      <w:r>
        <w:rPr>
          <w:rFonts w:ascii="Arial" w:hAnsi="Arial" w:cs="Arial"/>
          <w:lang w:val="cs-CZ"/>
        </w:rPr>
        <w:t xml:space="preserve">pcą Kierownika Kliniki. </w:t>
      </w:r>
      <w:r w:rsidR="00D6717C">
        <w:rPr>
          <w:rFonts w:ascii="Arial" w:hAnsi="Arial" w:cs="Arial"/>
          <w:lang w:val="cs-CZ"/>
        </w:rPr>
        <w:t xml:space="preserve">W Poradni Endokrynologicznej </w:t>
      </w:r>
      <w:r w:rsidR="000F5D63">
        <w:rPr>
          <w:rFonts w:ascii="Arial" w:hAnsi="Arial" w:cs="Arial"/>
          <w:lang w:val="cs-CZ"/>
        </w:rPr>
        <w:t>S</w:t>
      </w:r>
      <w:r w:rsidR="00C46CEC">
        <w:rPr>
          <w:rFonts w:ascii="Arial" w:hAnsi="Arial" w:cs="Arial"/>
          <w:lang w:val="cs-CZ"/>
        </w:rPr>
        <w:t xml:space="preserve">amodzielnego </w:t>
      </w:r>
      <w:r w:rsidR="000F5D63">
        <w:rPr>
          <w:rFonts w:ascii="Arial" w:hAnsi="Arial" w:cs="Arial"/>
          <w:lang w:val="cs-CZ"/>
        </w:rPr>
        <w:t>P</w:t>
      </w:r>
      <w:r w:rsidR="00C46CEC">
        <w:rPr>
          <w:rFonts w:ascii="Arial" w:hAnsi="Arial" w:cs="Arial"/>
          <w:lang w:val="cs-CZ"/>
        </w:rPr>
        <w:t xml:space="preserve">ublicznego </w:t>
      </w:r>
      <w:r w:rsidR="000F5D63">
        <w:rPr>
          <w:rFonts w:ascii="Arial" w:hAnsi="Arial" w:cs="Arial"/>
          <w:lang w:val="cs-CZ"/>
        </w:rPr>
        <w:t>C</w:t>
      </w:r>
      <w:r w:rsidR="00C46CEC">
        <w:rPr>
          <w:rFonts w:ascii="Arial" w:hAnsi="Arial" w:cs="Arial"/>
          <w:lang w:val="cs-CZ"/>
        </w:rPr>
        <w:t xml:space="preserve">entralnego </w:t>
      </w:r>
      <w:r w:rsidR="000F5D63">
        <w:rPr>
          <w:rFonts w:ascii="Arial" w:hAnsi="Arial" w:cs="Arial"/>
          <w:lang w:val="cs-CZ"/>
        </w:rPr>
        <w:t>S</w:t>
      </w:r>
      <w:r w:rsidR="00C46CEC">
        <w:rPr>
          <w:rFonts w:ascii="Arial" w:hAnsi="Arial" w:cs="Arial"/>
          <w:lang w:val="cs-CZ"/>
        </w:rPr>
        <w:t xml:space="preserve">zpitala </w:t>
      </w:r>
      <w:r w:rsidR="000F5D63">
        <w:rPr>
          <w:rFonts w:ascii="Arial" w:hAnsi="Arial" w:cs="Arial"/>
          <w:lang w:val="cs-CZ"/>
        </w:rPr>
        <w:t>K</w:t>
      </w:r>
      <w:r w:rsidR="00C46CEC">
        <w:rPr>
          <w:rFonts w:ascii="Arial" w:hAnsi="Arial" w:cs="Arial"/>
          <w:lang w:val="cs-CZ"/>
        </w:rPr>
        <w:t xml:space="preserve">linicznego </w:t>
      </w:r>
      <w:r w:rsidR="000F5D63">
        <w:rPr>
          <w:rFonts w:ascii="Arial" w:hAnsi="Arial" w:cs="Arial"/>
          <w:lang w:val="cs-CZ"/>
        </w:rPr>
        <w:t xml:space="preserve"> </w:t>
      </w:r>
      <w:r w:rsidR="00D6717C">
        <w:rPr>
          <w:rFonts w:ascii="Arial" w:hAnsi="Arial" w:cs="Arial"/>
          <w:lang w:val="cs-CZ"/>
        </w:rPr>
        <w:t>prowadzę pacjentów z chorobami nadnerczy</w:t>
      </w:r>
      <w:r w:rsidR="00783152">
        <w:rPr>
          <w:rFonts w:ascii="Arial" w:hAnsi="Arial" w:cs="Arial"/>
          <w:lang w:val="cs-CZ"/>
        </w:rPr>
        <w:t>.</w:t>
      </w:r>
      <w:r w:rsidR="00783152" w:rsidRPr="00783152">
        <w:rPr>
          <w:rFonts w:ascii="Arial" w:hAnsi="Arial" w:cs="Arial"/>
          <w:lang w:val="cs-CZ"/>
        </w:rPr>
        <w:t xml:space="preserve"> </w:t>
      </w:r>
      <w:r w:rsidR="00702C43">
        <w:rPr>
          <w:rFonts w:ascii="Arial" w:hAnsi="Arial" w:cs="Arial"/>
          <w:lang w:val="cs-CZ"/>
        </w:rPr>
        <w:t>Od 2014 roku w Klinice Chorób</w:t>
      </w:r>
      <w:r w:rsidR="00783152">
        <w:rPr>
          <w:rFonts w:ascii="Arial" w:hAnsi="Arial" w:cs="Arial"/>
          <w:lang w:val="cs-CZ"/>
        </w:rPr>
        <w:t xml:space="preserve"> Wewnętrznych i Endokrynologii pod moim nadzorem leczeni są chorzy z rakiem kory nadnerczy. </w:t>
      </w:r>
    </w:p>
    <w:p w:rsidR="00C46CEC" w:rsidRDefault="00AB5B36" w:rsidP="00C46CEC">
      <w:pPr>
        <w:spacing w:line="360" w:lineRule="auto"/>
        <w:jc w:val="both"/>
        <w:rPr>
          <w:rFonts w:ascii="Arial" w:hAnsi="Arial" w:cs="Arial"/>
          <w:lang w:val="cs-CZ"/>
        </w:rPr>
      </w:pPr>
      <w:r>
        <w:rPr>
          <w:rFonts w:ascii="Arial" w:hAnsi="Arial" w:cs="Arial"/>
          <w:lang w:val="cs-CZ"/>
        </w:rPr>
        <w:t>By</w:t>
      </w:r>
      <w:r w:rsidR="000F5D63">
        <w:rPr>
          <w:rFonts w:ascii="Arial" w:hAnsi="Arial" w:cs="Arial"/>
          <w:lang w:val="cs-CZ"/>
        </w:rPr>
        <w:t>ł</w:t>
      </w:r>
      <w:r>
        <w:rPr>
          <w:rFonts w:ascii="Arial" w:hAnsi="Arial" w:cs="Arial"/>
          <w:lang w:val="cs-CZ"/>
        </w:rPr>
        <w:t xml:space="preserve">am kierownikiem specjalizacji z zakresu Chorób Wewnętrznych (2 osoby) i Endokrynologii </w:t>
      </w:r>
      <w:r w:rsidR="005149EB">
        <w:rPr>
          <w:rFonts w:ascii="Arial" w:hAnsi="Arial" w:cs="Arial"/>
          <w:lang w:val="cs-CZ"/>
        </w:rPr>
        <w:t>(</w:t>
      </w:r>
      <w:r w:rsidR="00547D50">
        <w:rPr>
          <w:rFonts w:ascii="Arial" w:hAnsi="Arial" w:cs="Arial"/>
          <w:lang w:val="cs-CZ"/>
        </w:rPr>
        <w:t xml:space="preserve">5 </w:t>
      </w:r>
      <w:r w:rsidR="005149EB">
        <w:rPr>
          <w:rFonts w:ascii="Arial" w:hAnsi="Arial" w:cs="Arial"/>
          <w:lang w:val="cs-CZ"/>
        </w:rPr>
        <w:t>os</w:t>
      </w:r>
      <w:r w:rsidR="00547D50">
        <w:rPr>
          <w:rFonts w:ascii="Arial" w:hAnsi="Arial" w:cs="Arial"/>
          <w:lang w:val="cs-CZ"/>
        </w:rPr>
        <w:t>ób</w:t>
      </w:r>
      <w:r w:rsidR="005149EB">
        <w:rPr>
          <w:rFonts w:ascii="Arial" w:hAnsi="Arial" w:cs="Arial"/>
          <w:lang w:val="cs-CZ"/>
        </w:rPr>
        <w:t xml:space="preserve">). Obecnie jestem kierownikiem spcjalizacji z zakresu Endokrynologii (1 osoba). </w:t>
      </w:r>
    </w:p>
    <w:p w:rsidR="0036238C" w:rsidRDefault="005149EB" w:rsidP="00C46CEC">
      <w:pPr>
        <w:spacing w:line="360" w:lineRule="auto"/>
        <w:jc w:val="both"/>
        <w:rPr>
          <w:rFonts w:ascii="Arial" w:hAnsi="Arial" w:cs="Arial"/>
          <w:lang w:val="cs-CZ"/>
        </w:rPr>
      </w:pPr>
      <w:r>
        <w:rPr>
          <w:rFonts w:ascii="Arial" w:hAnsi="Arial" w:cs="Arial"/>
          <w:lang w:val="cs-CZ"/>
        </w:rPr>
        <w:t>W oparciu o prowadzone badania  przygotowałam procedury testów diagnostycznych st</w:t>
      </w:r>
      <w:r w:rsidR="006F38B8">
        <w:rPr>
          <w:rFonts w:ascii="Arial" w:hAnsi="Arial" w:cs="Arial"/>
          <w:lang w:val="cs-CZ"/>
        </w:rPr>
        <w:t>o</w:t>
      </w:r>
      <w:r>
        <w:rPr>
          <w:rFonts w:ascii="Arial" w:hAnsi="Arial" w:cs="Arial"/>
          <w:lang w:val="cs-CZ"/>
        </w:rPr>
        <w:t>s</w:t>
      </w:r>
      <w:r w:rsidR="000F5D63">
        <w:rPr>
          <w:rFonts w:ascii="Arial" w:hAnsi="Arial" w:cs="Arial"/>
          <w:lang w:val="cs-CZ"/>
        </w:rPr>
        <w:t>o</w:t>
      </w:r>
      <w:r>
        <w:rPr>
          <w:rFonts w:ascii="Arial" w:hAnsi="Arial" w:cs="Arial"/>
          <w:lang w:val="cs-CZ"/>
        </w:rPr>
        <w:t>wanych w endokrynologii, które stały sie stand</w:t>
      </w:r>
      <w:r w:rsidR="006F38B8">
        <w:rPr>
          <w:rFonts w:ascii="Arial" w:hAnsi="Arial" w:cs="Arial"/>
          <w:lang w:val="cs-CZ"/>
        </w:rPr>
        <w:t>artem zarówno w Klinice Chorób Wewnę</w:t>
      </w:r>
      <w:r>
        <w:rPr>
          <w:rFonts w:ascii="Arial" w:hAnsi="Arial" w:cs="Arial"/>
          <w:lang w:val="cs-CZ"/>
        </w:rPr>
        <w:t xml:space="preserve">trznych i Endokrynologii </w:t>
      </w:r>
      <w:r w:rsidR="000D0D2E">
        <w:rPr>
          <w:rFonts w:ascii="Arial" w:hAnsi="Arial" w:cs="Arial"/>
          <w:lang w:val="cs-CZ"/>
        </w:rPr>
        <w:t>Warszawskiego Uniwersyetu Medycznego</w:t>
      </w:r>
      <w:r>
        <w:rPr>
          <w:rFonts w:ascii="Arial" w:hAnsi="Arial" w:cs="Arial"/>
          <w:lang w:val="cs-CZ"/>
        </w:rPr>
        <w:t xml:space="preserve"> jak i są wykorzystywane przez Centralne La</w:t>
      </w:r>
      <w:r w:rsidR="00783152">
        <w:rPr>
          <w:rFonts w:ascii="Arial" w:hAnsi="Arial" w:cs="Arial"/>
          <w:lang w:val="cs-CZ"/>
        </w:rPr>
        <w:t xml:space="preserve">boratorium </w:t>
      </w:r>
      <w:r w:rsidR="00C46CEC">
        <w:rPr>
          <w:rFonts w:ascii="Arial" w:hAnsi="Arial" w:cs="Arial"/>
          <w:lang w:val="cs-CZ"/>
        </w:rPr>
        <w:t>Samodzielnego Publicznego Centralnego Szpitala Klinicznego</w:t>
      </w:r>
      <w:r w:rsidR="00783152">
        <w:rPr>
          <w:rFonts w:ascii="Arial" w:hAnsi="Arial" w:cs="Arial"/>
          <w:lang w:val="cs-CZ"/>
        </w:rPr>
        <w:t xml:space="preserve">.   </w:t>
      </w:r>
    </w:p>
    <w:p w:rsidR="008363FB" w:rsidRPr="001671CA" w:rsidRDefault="001C31BF" w:rsidP="001671CA">
      <w:pPr>
        <w:spacing w:line="360" w:lineRule="auto"/>
        <w:rPr>
          <w:rFonts w:ascii="Arial" w:hAnsi="Arial" w:cs="Arial"/>
          <w:lang w:val="cs-CZ"/>
        </w:rPr>
      </w:pPr>
      <w:r>
        <w:rPr>
          <w:rFonts w:ascii="Arial" w:hAnsi="Arial" w:cs="Arial"/>
          <w:lang w:val="cs-CZ"/>
        </w:rPr>
        <w:t xml:space="preserve">Jestem </w:t>
      </w:r>
      <w:r w:rsidR="00887A6F">
        <w:rPr>
          <w:rFonts w:ascii="Arial" w:hAnsi="Arial" w:cs="Arial"/>
          <w:lang w:val="cs-CZ"/>
        </w:rPr>
        <w:t>współ</w:t>
      </w:r>
      <w:r>
        <w:rPr>
          <w:rFonts w:ascii="Arial" w:hAnsi="Arial" w:cs="Arial"/>
          <w:lang w:val="cs-CZ"/>
        </w:rPr>
        <w:t xml:space="preserve">założycielem i Prezesem Fundacji na Rzecz Endokrynologii Diabetologii i Chorób </w:t>
      </w:r>
      <w:r w:rsidR="002830BE">
        <w:rPr>
          <w:rFonts w:ascii="Arial" w:hAnsi="Arial" w:cs="Arial"/>
          <w:lang w:val="cs-CZ"/>
        </w:rPr>
        <w:t>Przemiany Materii</w:t>
      </w:r>
      <w:r>
        <w:rPr>
          <w:rFonts w:ascii="Arial" w:hAnsi="Arial" w:cs="Arial"/>
          <w:lang w:val="cs-CZ"/>
        </w:rPr>
        <w:t xml:space="preserve">, która ma na celu </w:t>
      </w:r>
      <w:r w:rsidR="00177DB9">
        <w:rPr>
          <w:rFonts w:ascii="Arial" w:hAnsi="Arial" w:cs="Arial"/>
          <w:lang w:val="cs-CZ"/>
        </w:rPr>
        <w:t xml:space="preserve">m.in. </w:t>
      </w:r>
      <w:r>
        <w:rPr>
          <w:rFonts w:ascii="Arial" w:hAnsi="Arial" w:cs="Arial"/>
          <w:lang w:val="cs-CZ"/>
        </w:rPr>
        <w:t xml:space="preserve">wspieranie inicjatyw naukowych młodych badaczy.  </w:t>
      </w:r>
      <w:bookmarkEnd w:id="0"/>
    </w:p>
    <w:sectPr w:rsidR="008363FB" w:rsidRPr="001671CA" w:rsidSect="002F14FD">
      <w:footerReference w:type="default" r:id="rId2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CA2" w:rsidRDefault="00252CA2" w:rsidP="006926F8">
      <w:pPr>
        <w:spacing w:after="0" w:line="240" w:lineRule="auto"/>
      </w:pPr>
      <w:r>
        <w:separator/>
      </w:r>
    </w:p>
  </w:endnote>
  <w:endnote w:type="continuationSeparator" w:id="0">
    <w:p w:rsidR="00252CA2" w:rsidRDefault="00252CA2" w:rsidP="006926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dvP405AA6">
    <w:altName w:val="Arial"/>
    <w:panose1 w:val="00000000000000000000"/>
    <w:charset w:val="00"/>
    <w:family w:val="swiss"/>
    <w:notTrueType/>
    <w:pitch w:val="default"/>
    <w:sig w:usb0="00000003" w:usb1="00000000" w:usb2="00000000" w:usb3="00000000" w:csb0="00000001" w:csb1="00000000"/>
  </w:font>
  <w:font w:name="Candara-Bold">
    <w:altName w:val="MS Mincho"/>
    <w:panose1 w:val="00000000000000000000"/>
    <w:charset w:val="80"/>
    <w:family w:val="auto"/>
    <w:notTrueType/>
    <w:pitch w:val="default"/>
    <w:sig w:usb0="00000001" w:usb1="08070000" w:usb2="00000010" w:usb3="00000000" w:csb0="00020000" w:csb1="00000000"/>
  </w:font>
  <w:font w:name="Candara-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94356"/>
      <w:docPartObj>
        <w:docPartGallery w:val="Page Numbers (Bottom of Page)"/>
        <w:docPartUnique/>
      </w:docPartObj>
    </w:sdtPr>
    <w:sdtContent>
      <w:p w:rsidR="00EA5B25" w:rsidRDefault="004F4D62">
        <w:pPr>
          <w:pStyle w:val="Stopka"/>
          <w:jc w:val="center"/>
        </w:pPr>
        <w:fldSimple w:instr=" PAGE   \* MERGEFORMAT ">
          <w:r w:rsidR="000B57DD">
            <w:rPr>
              <w:noProof/>
            </w:rPr>
            <w:t>24</w:t>
          </w:r>
        </w:fldSimple>
      </w:p>
    </w:sdtContent>
  </w:sdt>
  <w:p w:rsidR="00EA5B25" w:rsidRDefault="00EA5B2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CA2" w:rsidRDefault="00252CA2" w:rsidP="006926F8">
      <w:pPr>
        <w:spacing w:after="0" w:line="240" w:lineRule="auto"/>
      </w:pPr>
      <w:r>
        <w:separator/>
      </w:r>
    </w:p>
  </w:footnote>
  <w:footnote w:type="continuationSeparator" w:id="0">
    <w:p w:rsidR="00252CA2" w:rsidRDefault="00252CA2" w:rsidP="006926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340"/>
    <w:multiLevelType w:val="hybridMultilevel"/>
    <w:tmpl w:val="B672BC66"/>
    <w:lvl w:ilvl="0" w:tplc="3AC63882">
      <w:start w:val="1"/>
      <w:numFmt w:val="bullet"/>
      <w:lvlText w:val="•"/>
      <w:lvlJc w:val="left"/>
      <w:pPr>
        <w:tabs>
          <w:tab w:val="num" w:pos="720"/>
        </w:tabs>
        <w:ind w:left="720" w:hanging="360"/>
      </w:pPr>
      <w:rPr>
        <w:rFonts w:ascii="Arial" w:hAnsi="Arial" w:hint="default"/>
      </w:rPr>
    </w:lvl>
    <w:lvl w:ilvl="1" w:tplc="44F6F174" w:tentative="1">
      <w:start w:val="1"/>
      <w:numFmt w:val="bullet"/>
      <w:lvlText w:val="•"/>
      <w:lvlJc w:val="left"/>
      <w:pPr>
        <w:tabs>
          <w:tab w:val="num" w:pos="1440"/>
        </w:tabs>
        <w:ind w:left="1440" w:hanging="360"/>
      </w:pPr>
      <w:rPr>
        <w:rFonts w:ascii="Arial" w:hAnsi="Arial" w:hint="default"/>
      </w:rPr>
    </w:lvl>
    <w:lvl w:ilvl="2" w:tplc="B6B25E20" w:tentative="1">
      <w:start w:val="1"/>
      <w:numFmt w:val="bullet"/>
      <w:lvlText w:val="•"/>
      <w:lvlJc w:val="left"/>
      <w:pPr>
        <w:tabs>
          <w:tab w:val="num" w:pos="2160"/>
        </w:tabs>
        <w:ind w:left="2160" w:hanging="360"/>
      </w:pPr>
      <w:rPr>
        <w:rFonts w:ascii="Arial" w:hAnsi="Arial" w:hint="default"/>
      </w:rPr>
    </w:lvl>
    <w:lvl w:ilvl="3" w:tplc="48E04D4E" w:tentative="1">
      <w:start w:val="1"/>
      <w:numFmt w:val="bullet"/>
      <w:lvlText w:val="•"/>
      <w:lvlJc w:val="left"/>
      <w:pPr>
        <w:tabs>
          <w:tab w:val="num" w:pos="2880"/>
        </w:tabs>
        <w:ind w:left="2880" w:hanging="360"/>
      </w:pPr>
      <w:rPr>
        <w:rFonts w:ascii="Arial" w:hAnsi="Arial" w:hint="default"/>
      </w:rPr>
    </w:lvl>
    <w:lvl w:ilvl="4" w:tplc="175C9FA6" w:tentative="1">
      <w:start w:val="1"/>
      <w:numFmt w:val="bullet"/>
      <w:lvlText w:val="•"/>
      <w:lvlJc w:val="left"/>
      <w:pPr>
        <w:tabs>
          <w:tab w:val="num" w:pos="3600"/>
        </w:tabs>
        <w:ind w:left="3600" w:hanging="360"/>
      </w:pPr>
      <w:rPr>
        <w:rFonts w:ascii="Arial" w:hAnsi="Arial" w:hint="default"/>
      </w:rPr>
    </w:lvl>
    <w:lvl w:ilvl="5" w:tplc="1396A6BE" w:tentative="1">
      <w:start w:val="1"/>
      <w:numFmt w:val="bullet"/>
      <w:lvlText w:val="•"/>
      <w:lvlJc w:val="left"/>
      <w:pPr>
        <w:tabs>
          <w:tab w:val="num" w:pos="4320"/>
        </w:tabs>
        <w:ind w:left="4320" w:hanging="360"/>
      </w:pPr>
      <w:rPr>
        <w:rFonts w:ascii="Arial" w:hAnsi="Arial" w:hint="default"/>
      </w:rPr>
    </w:lvl>
    <w:lvl w:ilvl="6" w:tplc="42EE07A4" w:tentative="1">
      <w:start w:val="1"/>
      <w:numFmt w:val="bullet"/>
      <w:lvlText w:val="•"/>
      <w:lvlJc w:val="left"/>
      <w:pPr>
        <w:tabs>
          <w:tab w:val="num" w:pos="5040"/>
        </w:tabs>
        <w:ind w:left="5040" w:hanging="360"/>
      </w:pPr>
      <w:rPr>
        <w:rFonts w:ascii="Arial" w:hAnsi="Arial" w:hint="default"/>
      </w:rPr>
    </w:lvl>
    <w:lvl w:ilvl="7" w:tplc="8ACEA282" w:tentative="1">
      <w:start w:val="1"/>
      <w:numFmt w:val="bullet"/>
      <w:lvlText w:val="•"/>
      <w:lvlJc w:val="left"/>
      <w:pPr>
        <w:tabs>
          <w:tab w:val="num" w:pos="5760"/>
        </w:tabs>
        <w:ind w:left="5760" w:hanging="360"/>
      </w:pPr>
      <w:rPr>
        <w:rFonts w:ascii="Arial" w:hAnsi="Arial" w:hint="default"/>
      </w:rPr>
    </w:lvl>
    <w:lvl w:ilvl="8" w:tplc="E16ECAD6" w:tentative="1">
      <w:start w:val="1"/>
      <w:numFmt w:val="bullet"/>
      <w:lvlText w:val="•"/>
      <w:lvlJc w:val="left"/>
      <w:pPr>
        <w:tabs>
          <w:tab w:val="num" w:pos="6480"/>
        </w:tabs>
        <w:ind w:left="6480" w:hanging="360"/>
      </w:pPr>
      <w:rPr>
        <w:rFonts w:ascii="Arial" w:hAnsi="Arial" w:hint="default"/>
      </w:rPr>
    </w:lvl>
  </w:abstractNum>
  <w:abstractNum w:abstractNumId="1">
    <w:nsid w:val="0AAB75D0"/>
    <w:multiLevelType w:val="hybridMultilevel"/>
    <w:tmpl w:val="2BBE92B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5B6006"/>
    <w:multiLevelType w:val="hybridMultilevel"/>
    <w:tmpl w:val="A6464236"/>
    <w:lvl w:ilvl="0" w:tplc="9A4001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AA316A"/>
    <w:multiLevelType w:val="hybridMultilevel"/>
    <w:tmpl w:val="A6464236"/>
    <w:lvl w:ilvl="0" w:tplc="9A4001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9950E0"/>
    <w:multiLevelType w:val="hybridMultilevel"/>
    <w:tmpl w:val="DC740CD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12091297"/>
    <w:multiLevelType w:val="hybridMultilevel"/>
    <w:tmpl w:val="0924178A"/>
    <w:lvl w:ilvl="0" w:tplc="0415000F">
      <w:start w:val="1"/>
      <w:numFmt w:val="decimal"/>
      <w:lvlText w:val="%1."/>
      <w:lvlJc w:val="left"/>
      <w:pPr>
        <w:tabs>
          <w:tab w:val="num" w:pos="780"/>
        </w:tabs>
        <w:ind w:left="780" w:hanging="360"/>
      </w:pPr>
    </w:lvl>
    <w:lvl w:ilvl="1" w:tplc="6FC44EF0">
      <w:start w:val="1"/>
      <w:numFmt w:val="bullet"/>
      <w:lvlText w:val=""/>
      <w:lvlJc w:val="left"/>
      <w:pPr>
        <w:tabs>
          <w:tab w:val="num" w:pos="1500"/>
        </w:tabs>
        <w:ind w:left="1500" w:hanging="360"/>
      </w:pPr>
      <w:rPr>
        <w:rFonts w:ascii="Symbol" w:hAnsi="Symbol" w:hint="default"/>
        <w:color w:val="auto"/>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6">
    <w:nsid w:val="1A847D0A"/>
    <w:multiLevelType w:val="hybridMultilevel"/>
    <w:tmpl w:val="651C71BA"/>
    <w:lvl w:ilvl="0" w:tplc="04150001">
      <w:start w:val="1"/>
      <w:numFmt w:val="bullet"/>
      <w:lvlText w:val=""/>
      <w:lvlJc w:val="left"/>
      <w:pPr>
        <w:ind w:left="1603" w:hanging="360"/>
      </w:pPr>
      <w:rPr>
        <w:rFonts w:ascii="Symbol" w:hAnsi="Symbol" w:hint="default"/>
      </w:rPr>
    </w:lvl>
    <w:lvl w:ilvl="1" w:tplc="04150003" w:tentative="1">
      <w:start w:val="1"/>
      <w:numFmt w:val="bullet"/>
      <w:lvlText w:val="o"/>
      <w:lvlJc w:val="left"/>
      <w:pPr>
        <w:ind w:left="2323" w:hanging="360"/>
      </w:pPr>
      <w:rPr>
        <w:rFonts w:ascii="Courier New" w:hAnsi="Courier New" w:cs="Courier New" w:hint="default"/>
      </w:rPr>
    </w:lvl>
    <w:lvl w:ilvl="2" w:tplc="04150005" w:tentative="1">
      <w:start w:val="1"/>
      <w:numFmt w:val="bullet"/>
      <w:lvlText w:val=""/>
      <w:lvlJc w:val="left"/>
      <w:pPr>
        <w:ind w:left="3043" w:hanging="360"/>
      </w:pPr>
      <w:rPr>
        <w:rFonts w:ascii="Wingdings" w:hAnsi="Wingdings" w:hint="default"/>
      </w:rPr>
    </w:lvl>
    <w:lvl w:ilvl="3" w:tplc="04150001" w:tentative="1">
      <w:start w:val="1"/>
      <w:numFmt w:val="bullet"/>
      <w:lvlText w:val=""/>
      <w:lvlJc w:val="left"/>
      <w:pPr>
        <w:ind w:left="3763" w:hanging="360"/>
      </w:pPr>
      <w:rPr>
        <w:rFonts w:ascii="Symbol" w:hAnsi="Symbol" w:hint="default"/>
      </w:rPr>
    </w:lvl>
    <w:lvl w:ilvl="4" w:tplc="04150003" w:tentative="1">
      <w:start w:val="1"/>
      <w:numFmt w:val="bullet"/>
      <w:lvlText w:val="o"/>
      <w:lvlJc w:val="left"/>
      <w:pPr>
        <w:ind w:left="4483" w:hanging="360"/>
      </w:pPr>
      <w:rPr>
        <w:rFonts w:ascii="Courier New" w:hAnsi="Courier New" w:cs="Courier New" w:hint="default"/>
      </w:rPr>
    </w:lvl>
    <w:lvl w:ilvl="5" w:tplc="04150005" w:tentative="1">
      <w:start w:val="1"/>
      <w:numFmt w:val="bullet"/>
      <w:lvlText w:val=""/>
      <w:lvlJc w:val="left"/>
      <w:pPr>
        <w:ind w:left="5203" w:hanging="360"/>
      </w:pPr>
      <w:rPr>
        <w:rFonts w:ascii="Wingdings" w:hAnsi="Wingdings" w:hint="default"/>
      </w:rPr>
    </w:lvl>
    <w:lvl w:ilvl="6" w:tplc="04150001" w:tentative="1">
      <w:start w:val="1"/>
      <w:numFmt w:val="bullet"/>
      <w:lvlText w:val=""/>
      <w:lvlJc w:val="left"/>
      <w:pPr>
        <w:ind w:left="5923" w:hanging="360"/>
      </w:pPr>
      <w:rPr>
        <w:rFonts w:ascii="Symbol" w:hAnsi="Symbol" w:hint="default"/>
      </w:rPr>
    </w:lvl>
    <w:lvl w:ilvl="7" w:tplc="04150003" w:tentative="1">
      <w:start w:val="1"/>
      <w:numFmt w:val="bullet"/>
      <w:lvlText w:val="o"/>
      <w:lvlJc w:val="left"/>
      <w:pPr>
        <w:ind w:left="6643" w:hanging="360"/>
      </w:pPr>
      <w:rPr>
        <w:rFonts w:ascii="Courier New" w:hAnsi="Courier New" w:cs="Courier New" w:hint="default"/>
      </w:rPr>
    </w:lvl>
    <w:lvl w:ilvl="8" w:tplc="04150005" w:tentative="1">
      <w:start w:val="1"/>
      <w:numFmt w:val="bullet"/>
      <w:lvlText w:val=""/>
      <w:lvlJc w:val="left"/>
      <w:pPr>
        <w:ind w:left="7363" w:hanging="360"/>
      </w:pPr>
      <w:rPr>
        <w:rFonts w:ascii="Wingdings" w:hAnsi="Wingdings" w:hint="default"/>
      </w:rPr>
    </w:lvl>
  </w:abstractNum>
  <w:abstractNum w:abstractNumId="7">
    <w:nsid w:val="26735630"/>
    <w:multiLevelType w:val="hybridMultilevel"/>
    <w:tmpl w:val="36D63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A194D24"/>
    <w:multiLevelType w:val="hybridMultilevel"/>
    <w:tmpl w:val="EAA20994"/>
    <w:lvl w:ilvl="0" w:tplc="8C1E06D2">
      <w:start w:val="2010"/>
      <w:numFmt w:val="decimal"/>
      <w:lvlText w:val="%1"/>
      <w:lvlJc w:val="left"/>
      <w:pPr>
        <w:ind w:left="1200" w:hanging="48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BA47384"/>
    <w:multiLevelType w:val="hybridMultilevel"/>
    <w:tmpl w:val="ABD8278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7D3728"/>
    <w:multiLevelType w:val="hybridMultilevel"/>
    <w:tmpl w:val="50AC6A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6E0FB6"/>
    <w:multiLevelType w:val="hybridMultilevel"/>
    <w:tmpl w:val="D69E19BE"/>
    <w:lvl w:ilvl="0" w:tplc="149C19C8">
      <w:start w:val="1"/>
      <w:numFmt w:val="bullet"/>
      <w:lvlText w:val="•"/>
      <w:lvlJc w:val="left"/>
      <w:pPr>
        <w:tabs>
          <w:tab w:val="num" w:pos="720"/>
        </w:tabs>
        <w:ind w:left="720" w:hanging="360"/>
      </w:pPr>
      <w:rPr>
        <w:rFonts w:ascii="Arial" w:hAnsi="Arial" w:hint="default"/>
      </w:rPr>
    </w:lvl>
    <w:lvl w:ilvl="1" w:tplc="697ADBF6" w:tentative="1">
      <w:start w:val="1"/>
      <w:numFmt w:val="bullet"/>
      <w:lvlText w:val="•"/>
      <w:lvlJc w:val="left"/>
      <w:pPr>
        <w:tabs>
          <w:tab w:val="num" w:pos="1440"/>
        </w:tabs>
        <w:ind w:left="1440" w:hanging="360"/>
      </w:pPr>
      <w:rPr>
        <w:rFonts w:ascii="Arial" w:hAnsi="Arial" w:hint="default"/>
      </w:rPr>
    </w:lvl>
    <w:lvl w:ilvl="2" w:tplc="146E3ACE" w:tentative="1">
      <w:start w:val="1"/>
      <w:numFmt w:val="bullet"/>
      <w:lvlText w:val="•"/>
      <w:lvlJc w:val="left"/>
      <w:pPr>
        <w:tabs>
          <w:tab w:val="num" w:pos="2160"/>
        </w:tabs>
        <w:ind w:left="2160" w:hanging="360"/>
      </w:pPr>
      <w:rPr>
        <w:rFonts w:ascii="Arial" w:hAnsi="Arial" w:hint="default"/>
      </w:rPr>
    </w:lvl>
    <w:lvl w:ilvl="3" w:tplc="7194DC56" w:tentative="1">
      <w:start w:val="1"/>
      <w:numFmt w:val="bullet"/>
      <w:lvlText w:val="•"/>
      <w:lvlJc w:val="left"/>
      <w:pPr>
        <w:tabs>
          <w:tab w:val="num" w:pos="2880"/>
        </w:tabs>
        <w:ind w:left="2880" w:hanging="360"/>
      </w:pPr>
      <w:rPr>
        <w:rFonts w:ascii="Arial" w:hAnsi="Arial" w:hint="default"/>
      </w:rPr>
    </w:lvl>
    <w:lvl w:ilvl="4" w:tplc="5E6843CC" w:tentative="1">
      <w:start w:val="1"/>
      <w:numFmt w:val="bullet"/>
      <w:lvlText w:val="•"/>
      <w:lvlJc w:val="left"/>
      <w:pPr>
        <w:tabs>
          <w:tab w:val="num" w:pos="3600"/>
        </w:tabs>
        <w:ind w:left="3600" w:hanging="360"/>
      </w:pPr>
      <w:rPr>
        <w:rFonts w:ascii="Arial" w:hAnsi="Arial" w:hint="default"/>
      </w:rPr>
    </w:lvl>
    <w:lvl w:ilvl="5" w:tplc="361C55D0" w:tentative="1">
      <w:start w:val="1"/>
      <w:numFmt w:val="bullet"/>
      <w:lvlText w:val="•"/>
      <w:lvlJc w:val="left"/>
      <w:pPr>
        <w:tabs>
          <w:tab w:val="num" w:pos="4320"/>
        </w:tabs>
        <w:ind w:left="4320" w:hanging="360"/>
      </w:pPr>
      <w:rPr>
        <w:rFonts w:ascii="Arial" w:hAnsi="Arial" w:hint="default"/>
      </w:rPr>
    </w:lvl>
    <w:lvl w:ilvl="6" w:tplc="6D56027A" w:tentative="1">
      <w:start w:val="1"/>
      <w:numFmt w:val="bullet"/>
      <w:lvlText w:val="•"/>
      <w:lvlJc w:val="left"/>
      <w:pPr>
        <w:tabs>
          <w:tab w:val="num" w:pos="5040"/>
        </w:tabs>
        <w:ind w:left="5040" w:hanging="360"/>
      </w:pPr>
      <w:rPr>
        <w:rFonts w:ascii="Arial" w:hAnsi="Arial" w:hint="default"/>
      </w:rPr>
    </w:lvl>
    <w:lvl w:ilvl="7" w:tplc="75B2BFDA" w:tentative="1">
      <w:start w:val="1"/>
      <w:numFmt w:val="bullet"/>
      <w:lvlText w:val="•"/>
      <w:lvlJc w:val="left"/>
      <w:pPr>
        <w:tabs>
          <w:tab w:val="num" w:pos="5760"/>
        </w:tabs>
        <w:ind w:left="5760" w:hanging="360"/>
      </w:pPr>
      <w:rPr>
        <w:rFonts w:ascii="Arial" w:hAnsi="Arial" w:hint="default"/>
      </w:rPr>
    </w:lvl>
    <w:lvl w:ilvl="8" w:tplc="C58E9092" w:tentative="1">
      <w:start w:val="1"/>
      <w:numFmt w:val="bullet"/>
      <w:lvlText w:val="•"/>
      <w:lvlJc w:val="left"/>
      <w:pPr>
        <w:tabs>
          <w:tab w:val="num" w:pos="6480"/>
        </w:tabs>
        <w:ind w:left="6480" w:hanging="360"/>
      </w:pPr>
      <w:rPr>
        <w:rFonts w:ascii="Arial" w:hAnsi="Arial" w:hint="default"/>
      </w:rPr>
    </w:lvl>
  </w:abstractNum>
  <w:abstractNum w:abstractNumId="12">
    <w:nsid w:val="3D1B728A"/>
    <w:multiLevelType w:val="hybridMultilevel"/>
    <w:tmpl w:val="D76035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1855C0C"/>
    <w:multiLevelType w:val="hybridMultilevel"/>
    <w:tmpl w:val="D750C02C"/>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C11A1E"/>
    <w:multiLevelType w:val="hybridMultilevel"/>
    <w:tmpl w:val="C5E0B9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46F247E"/>
    <w:multiLevelType w:val="hybridMultilevel"/>
    <w:tmpl w:val="A6464236"/>
    <w:lvl w:ilvl="0" w:tplc="9A4001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434A5C"/>
    <w:multiLevelType w:val="hybridMultilevel"/>
    <w:tmpl w:val="973A02C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nsid w:val="49C55B81"/>
    <w:multiLevelType w:val="hybridMultilevel"/>
    <w:tmpl w:val="6810A67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nsid w:val="51E32BE6"/>
    <w:multiLevelType w:val="hybridMultilevel"/>
    <w:tmpl w:val="8B525A1E"/>
    <w:lvl w:ilvl="0" w:tplc="913E8142">
      <w:start w:val="1"/>
      <w:numFmt w:val="bullet"/>
      <w:lvlText w:val="•"/>
      <w:lvlJc w:val="left"/>
      <w:pPr>
        <w:tabs>
          <w:tab w:val="num" w:pos="720"/>
        </w:tabs>
        <w:ind w:left="720" w:hanging="360"/>
      </w:pPr>
      <w:rPr>
        <w:rFonts w:ascii="Arial" w:hAnsi="Arial" w:hint="default"/>
      </w:rPr>
    </w:lvl>
    <w:lvl w:ilvl="1" w:tplc="58DED344" w:tentative="1">
      <w:start w:val="1"/>
      <w:numFmt w:val="bullet"/>
      <w:lvlText w:val="•"/>
      <w:lvlJc w:val="left"/>
      <w:pPr>
        <w:tabs>
          <w:tab w:val="num" w:pos="1440"/>
        </w:tabs>
        <w:ind w:left="1440" w:hanging="360"/>
      </w:pPr>
      <w:rPr>
        <w:rFonts w:ascii="Arial" w:hAnsi="Arial" w:hint="default"/>
      </w:rPr>
    </w:lvl>
    <w:lvl w:ilvl="2" w:tplc="537C1688" w:tentative="1">
      <w:start w:val="1"/>
      <w:numFmt w:val="bullet"/>
      <w:lvlText w:val="•"/>
      <w:lvlJc w:val="left"/>
      <w:pPr>
        <w:tabs>
          <w:tab w:val="num" w:pos="2160"/>
        </w:tabs>
        <w:ind w:left="2160" w:hanging="360"/>
      </w:pPr>
      <w:rPr>
        <w:rFonts w:ascii="Arial" w:hAnsi="Arial" w:hint="default"/>
      </w:rPr>
    </w:lvl>
    <w:lvl w:ilvl="3" w:tplc="A0686172" w:tentative="1">
      <w:start w:val="1"/>
      <w:numFmt w:val="bullet"/>
      <w:lvlText w:val="•"/>
      <w:lvlJc w:val="left"/>
      <w:pPr>
        <w:tabs>
          <w:tab w:val="num" w:pos="2880"/>
        </w:tabs>
        <w:ind w:left="2880" w:hanging="360"/>
      </w:pPr>
      <w:rPr>
        <w:rFonts w:ascii="Arial" w:hAnsi="Arial" w:hint="default"/>
      </w:rPr>
    </w:lvl>
    <w:lvl w:ilvl="4" w:tplc="AB66E528" w:tentative="1">
      <w:start w:val="1"/>
      <w:numFmt w:val="bullet"/>
      <w:lvlText w:val="•"/>
      <w:lvlJc w:val="left"/>
      <w:pPr>
        <w:tabs>
          <w:tab w:val="num" w:pos="3600"/>
        </w:tabs>
        <w:ind w:left="3600" w:hanging="360"/>
      </w:pPr>
      <w:rPr>
        <w:rFonts w:ascii="Arial" w:hAnsi="Arial" w:hint="default"/>
      </w:rPr>
    </w:lvl>
    <w:lvl w:ilvl="5" w:tplc="D49A92CA" w:tentative="1">
      <w:start w:val="1"/>
      <w:numFmt w:val="bullet"/>
      <w:lvlText w:val="•"/>
      <w:lvlJc w:val="left"/>
      <w:pPr>
        <w:tabs>
          <w:tab w:val="num" w:pos="4320"/>
        </w:tabs>
        <w:ind w:left="4320" w:hanging="360"/>
      </w:pPr>
      <w:rPr>
        <w:rFonts w:ascii="Arial" w:hAnsi="Arial" w:hint="default"/>
      </w:rPr>
    </w:lvl>
    <w:lvl w:ilvl="6" w:tplc="C142A906" w:tentative="1">
      <w:start w:val="1"/>
      <w:numFmt w:val="bullet"/>
      <w:lvlText w:val="•"/>
      <w:lvlJc w:val="left"/>
      <w:pPr>
        <w:tabs>
          <w:tab w:val="num" w:pos="5040"/>
        </w:tabs>
        <w:ind w:left="5040" w:hanging="360"/>
      </w:pPr>
      <w:rPr>
        <w:rFonts w:ascii="Arial" w:hAnsi="Arial" w:hint="default"/>
      </w:rPr>
    </w:lvl>
    <w:lvl w:ilvl="7" w:tplc="E7A434AE" w:tentative="1">
      <w:start w:val="1"/>
      <w:numFmt w:val="bullet"/>
      <w:lvlText w:val="•"/>
      <w:lvlJc w:val="left"/>
      <w:pPr>
        <w:tabs>
          <w:tab w:val="num" w:pos="5760"/>
        </w:tabs>
        <w:ind w:left="5760" w:hanging="360"/>
      </w:pPr>
      <w:rPr>
        <w:rFonts w:ascii="Arial" w:hAnsi="Arial" w:hint="default"/>
      </w:rPr>
    </w:lvl>
    <w:lvl w:ilvl="8" w:tplc="49861E20" w:tentative="1">
      <w:start w:val="1"/>
      <w:numFmt w:val="bullet"/>
      <w:lvlText w:val="•"/>
      <w:lvlJc w:val="left"/>
      <w:pPr>
        <w:tabs>
          <w:tab w:val="num" w:pos="6480"/>
        </w:tabs>
        <w:ind w:left="6480" w:hanging="360"/>
      </w:pPr>
      <w:rPr>
        <w:rFonts w:ascii="Arial" w:hAnsi="Arial" w:hint="default"/>
      </w:rPr>
    </w:lvl>
  </w:abstractNum>
  <w:abstractNum w:abstractNumId="19">
    <w:nsid w:val="529273BC"/>
    <w:multiLevelType w:val="hybridMultilevel"/>
    <w:tmpl w:val="97B224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2A557E6"/>
    <w:multiLevelType w:val="hybridMultilevel"/>
    <w:tmpl w:val="A5DEC2B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nsid w:val="536A5EFB"/>
    <w:multiLevelType w:val="hybridMultilevel"/>
    <w:tmpl w:val="A7005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43656D8"/>
    <w:multiLevelType w:val="hybridMultilevel"/>
    <w:tmpl w:val="77DC9E4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nsid w:val="572C788D"/>
    <w:multiLevelType w:val="hybridMultilevel"/>
    <w:tmpl w:val="2EFAB7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7F771FD"/>
    <w:multiLevelType w:val="hybridMultilevel"/>
    <w:tmpl w:val="C5E0B9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D54920"/>
    <w:multiLevelType w:val="hybridMultilevel"/>
    <w:tmpl w:val="FA7AAD6E"/>
    <w:lvl w:ilvl="0" w:tplc="C14052BA">
      <w:start w:val="1"/>
      <w:numFmt w:val="lowerLetter"/>
      <w:lvlText w:val="%1)"/>
      <w:lvlJc w:val="left"/>
      <w:pPr>
        <w:ind w:left="1080" w:hanging="360"/>
      </w:pPr>
      <w:rPr>
        <w:rFonts w:eastAsiaTheme="minorHAns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74FC4958"/>
    <w:multiLevelType w:val="hybridMultilevel"/>
    <w:tmpl w:val="A4E09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6672CD2"/>
    <w:multiLevelType w:val="hybridMultilevel"/>
    <w:tmpl w:val="4A5E879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nsid w:val="7A364A81"/>
    <w:multiLevelType w:val="hybridMultilevel"/>
    <w:tmpl w:val="53346D56"/>
    <w:lvl w:ilvl="0" w:tplc="04150001">
      <w:start w:val="1"/>
      <w:numFmt w:val="bullet"/>
      <w:lvlText w:val=""/>
      <w:lvlJc w:val="left"/>
      <w:pPr>
        <w:tabs>
          <w:tab w:val="num" w:pos="780"/>
        </w:tabs>
        <w:ind w:left="780" w:hanging="360"/>
      </w:pPr>
      <w:rPr>
        <w:rFonts w:ascii="Symbol" w:hAnsi="Symbol" w:hint="default"/>
      </w:rPr>
    </w:lvl>
    <w:lvl w:ilvl="1" w:tplc="6FC44EF0">
      <w:start w:val="1"/>
      <w:numFmt w:val="bullet"/>
      <w:lvlText w:val=""/>
      <w:lvlJc w:val="left"/>
      <w:pPr>
        <w:tabs>
          <w:tab w:val="num" w:pos="1500"/>
        </w:tabs>
        <w:ind w:left="1500" w:hanging="360"/>
      </w:pPr>
      <w:rPr>
        <w:rFonts w:ascii="Symbol" w:hAnsi="Symbol" w:hint="default"/>
        <w:color w:val="auto"/>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9">
    <w:nsid w:val="7ABB2549"/>
    <w:multiLevelType w:val="hybridMultilevel"/>
    <w:tmpl w:val="C5E0B9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0"/>
  </w:num>
  <w:num w:numId="3">
    <w:abstractNumId w:val="8"/>
  </w:num>
  <w:num w:numId="4">
    <w:abstractNumId w:val="9"/>
  </w:num>
  <w:num w:numId="5">
    <w:abstractNumId w:val="13"/>
  </w:num>
  <w:num w:numId="6">
    <w:abstractNumId w:val="25"/>
  </w:num>
  <w:num w:numId="7">
    <w:abstractNumId w:val="2"/>
  </w:num>
  <w:num w:numId="8">
    <w:abstractNumId w:val="29"/>
  </w:num>
  <w:num w:numId="9">
    <w:abstractNumId w:val="14"/>
  </w:num>
  <w:num w:numId="10">
    <w:abstractNumId w:val="24"/>
  </w:num>
  <w:num w:numId="11">
    <w:abstractNumId w:val="3"/>
  </w:num>
  <w:num w:numId="12">
    <w:abstractNumId w:val="15"/>
  </w:num>
  <w:num w:numId="13">
    <w:abstractNumId w:val="1"/>
  </w:num>
  <w:num w:numId="14">
    <w:abstractNumId w:val="19"/>
  </w:num>
  <w:num w:numId="15">
    <w:abstractNumId w:val="5"/>
  </w:num>
  <w:num w:numId="16">
    <w:abstractNumId w:val="28"/>
  </w:num>
  <w:num w:numId="17">
    <w:abstractNumId w:val="0"/>
  </w:num>
  <w:num w:numId="18">
    <w:abstractNumId w:val="18"/>
  </w:num>
  <w:num w:numId="19">
    <w:abstractNumId w:val="16"/>
  </w:num>
  <w:num w:numId="20">
    <w:abstractNumId w:val="27"/>
  </w:num>
  <w:num w:numId="21">
    <w:abstractNumId w:val="6"/>
  </w:num>
  <w:num w:numId="22">
    <w:abstractNumId w:val="4"/>
  </w:num>
  <w:num w:numId="23">
    <w:abstractNumId w:val="22"/>
  </w:num>
  <w:num w:numId="24">
    <w:abstractNumId w:val="11"/>
  </w:num>
  <w:num w:numId="25">
    <w:abstractNumId w:val="7"/>
  </w:num>
  <w:num w:numId="26">
    <w:abstractNumId w:val="23"/>
  </w:num>
  <w:num w:numId="27">
    <w:abstractNumId w:val="17"/>
  </w:num>
  <w:num w:numId="28">
    <w:abstractNumId w:val="20"/>
  </w:num>
  <w:num w:numId="29">
    <w:abstractNumId w:val="12"/>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defaultTabStop w:val="708"/>
  <w:hyphenationZone w:val="425"/>
  <w:characterSpacingControl w:val="doNotCompress"/>
  <w:footnotePr>
    <w:footnote w:id="-1"/>
    <w:footnote w:id="0"/>
  </w:footnotePr>
  <w:endnotePr>
    <w:endnote w:id="-1"/>
    <w:endnote w:id="0"/>
  </w:endnotePr>
  <w:compat/>
  <w:rsids>
    <w:rsidRoot w:val="00AF4A3B"/>
    <w:rsid w:val="00004547"/>
    <w:rsid w:val="000104C9"/>
    <w:rsid w:val="00016839"/>
    <w:rsid w:val="00023B13"/>
    <w:rsid w:val="00024A8B"/>
    <w:rsid w:val="00025CD1"/>
    <w:rsid w:val="00033B04"/>
    <w:rsid w:val="00033EB4"/>
    <w:rsid w:val="0004773F"/>
    <w:rsid w:val="00054294"/>
    <w:rsid w:val="00056AB4"/>
    <w:rsid w:val="00057A2E"/>
    <w:rsid w:val="00061AC8"/>
    <w:rsid w:val="00081E86"/>
    <w:rsid w:val="00082450"/>
    <w:rsid w:val="00090F46"/>
    <w:rsid w:val="000B14E4"/>
    <w:rsid w:val="000B1866"/>
    <w:rsid w:val="000B57DD"/>
    <w:rsid w:val="000B6A7A"/>
    <w:rsid w:val="000C185C"/>
    <w:rsid w:val="000D0D2E"/>
    <w:rsid w:val="000D1967"/>
    <w:rsid w:val="000D327F"/>
    <w:rsid w:val="000D4621"/>
    <w:rsid w:val="000F28A3"/>
    <w:rsid w:val="000F5D63"/>
    <w:rsid w:val="000F6440"/>
    <w:rsid w:val="001145F8"/>
    <w:rsid w:val="00115C9C"/>
    <w:rsid w:val="001206BD"/>
    <w:rsid w:val="001233A4"/>
    <w:rsid w:val="001235DF"/>
    <w:rsid w:val="00124B74"/>
    <w:rsid w:val="001330F7"/>
    <w:rsid w:val="00133770"/>
    <w:rsid w:val="0013540D"/>
    <w:rsid w:val="00136DA1"/>
    <w:rsid w:val="00140825"/>
    <w:rsid w:val="0014242E"/>
    <w:rsid w:val="0014638C"/>
    <w:rsid w:val="001507B6"/>
    <w:rsid w:val="00150B2E"/>
    <w:rsid w:val="001530CE"/>
    <w:rsid w:val="0015405E"/>
    <w:rsid w:val="0015761C"/>
    <w:rsid w:val="001671CA"/>
    <w:rsid w:val="001674D2"/>
    <w:rsid w:val="00167A68"/>
    <w:rsid w:val="00172092"/>
    <w:rsid w:val="001738BE"/>
    <w:rsid w:val="00177DB9"/>
    <w:rsid w:val="00180D61"/>
    <w:rsid w:val="00183AB1"/>
    <w:rsid w:val="00184481"/>
    <w:rsid w:val="00186073"/>
    <w:rsid w:val="00195D3B"/>
    <w:rsid w:val="001A2068"/>
    <w:rsid w:val="001A5C80"/>
    <w:rsid w:val="001B5BE5"/>
    <w:rsid w:val="001B646A"/>
    <w:rsid w:val="001C0950"/>
    <w:rsid w:val="001C0A40"/>
    <w:rsid w:val="001C31BF"/>
    <w:rsid w:val="001D39DE"/>
    <w:rsid w:val="001D5DEF"/>
    <w:rsid w:val="001D7787"/>
    <w:rsid w:val="001E2683"/>
    <w:rsid w:val="001F43F1"/>
    <w:rsid w:val="001F5FCC"/>
    <w:rsid w:val="002007DD"/>
    <w:rsid w:val="00201FBB"/>
    <w:rsid w:val="00202808"/>
    <w:rsid w:val="00202CBD"/>
    <w:rsid w:val="002078C5"/>
    <w:rsid w:val="00210857"/>
    <w:rsid w:val="00210F28"/>
    <w:rsid w:val="00223222"/>
    <w:rsid w:val="002239AE"/>
    <w:rsid w:val="002261D4"/>
    <w:rsid w:val="0023297C"/>
    <w:rsid w:val="002342AE"/>
    <w:rsid w:val="00236846"/>
    <w:rsid w:val="00244FCE"/>
    <w:rsid w:val="00252CA2"/>
    <w:rsid w:val="00254883"/>
    <w:rsid w:val="002617D7"/>
    <w:rsid w:val="00265AB5"/>
    <w:rsid w:val="00271E6A"/>
    <w:rsid w:val="002750DC"/>
    <w:rsid w:val="002806D8"/>
    <w:rsid w:val="002830BE"/>
    <w:rsid w:val="00286F5A"/>
    <w:rsid w:val="00287F01"/>
    <w:rsid w:val="00294D11"/>
    <w:rsid w:val="00296DC8"/>
    <w:rsid w:val="002A2E8E"/>
    <w:rsid w:val="002A49FE"/>
    <w:rsid w:val="002C12F4"/>
    <w:rsid w:val="002D5D44"/>
    <w:rsid w:val="002D6391"/>
    <w:rsid w:val="002D7511"/>
    <w:rsid w:val="002E26BE"/>
    <w:rsid w:val="002F14D1"/>
    <w:rsid w:val="002F14FD"/>
    <w:rsid w:val="002F568E"/>
    <w:rsid w:val="003013DB"/>
    <w:rsid w:val="003058DA"/>
    <w:rsid w:val="0030664C"/>
    <w:rsid w:val="00306808"/>
    <w:rsid w:val="00307833"/>
    <w:rsid w:val="00311D56"/>
    <w:rsid w:val="00321589"/>
    <w:rsid w:val="00322649"/>
    <w:rsid w:val="00322E88"/>
    <w:rsid w:val="00323B5D"/>
    <w:rsid w:val="00324D2A"/>
    <w:rsid w:val="00330C02"/>
    <w:rsid w:val="003344A2"/>
    <w:rsid w:val="0033721B"/>
    <w:rsid w:val="00351805"/>
    <w:rsid w:val="0035265C"/>
    <w:rsid w:val="00355F9F"/>
    <w:rsid w:val="003577F5"/>
    <w:rsid w:val="0036238C"/>
    <w:rsid w:val="003636F7"/>
    <w:rsid w:val="003665CF"/>
    <w:rsid w:val="00377AD5"/>
    <w:rsid w:val="0038158E"/>
    <w:rsid w:val="003820AE"/>
    <w:rsid w:val="00391585"/>
    <w:rsid w:val="00396EDB"/>
    <w:rsid w:val="003B06AA"/>
    <w:rsid w:val="003B197D"/>
    <w:rsid w:val="003C1809"/>
    <w:rsid w:val="003C1E32"/>
    <w:rsid w:val="003D50C6"/>
    <w:rsid w:val="003E1CC0"/>
    <w:rsid w:val="003E369D"/>
    <w:rsid w:val="003E75CF"/>
    <w:rsid w:val="003E7671"/>
    <w:rsid w:val="003F204A"/>
    <w:rsid w:val="003F230B"/>
    <w:rsid w:val="003F32E6"/>
    <w:rsid w:val="0040446D"/>
    <w:rsid w:val="00405767"/>
    <w:rsid w:val="004127B2"/>
    <w:rsid w:val="00413110"/>
    <w:rsid w:val="00423516"/>
    <w:rsid w:val="0042642D"/>
    <w:rsid w:val="004311BC"/>
    <w:rsid w:val="004329B4"/>
    <w:rsid w:val="004346B4"/>
    <w:rsid w:val="00442966"/>
    <w:rsid w:val="00444B48"/>
    <w:rsid w:val="0045204E"/>
    <w:rsid w:val="00453261"/>
    <w:rsid w:val="00457760"/>
    <w:rsid w:val="00461FFF"/>
    <w:rsid w:val="00480E0A"/>
    <w:rsid w:val="00483ED4"/>
    <w:rsid w:val="00491144"/>
    <w:rsid w:val="004972D1"/>
    <w:rsid w:val="004A00C1"/>
    <w:rsid w:val="004A2474"/>
    <w:rsid w:val="004B1B87"/>
    <w:rsid w:val="004C1289"/>
    <w:rsid w:val="004C3865"/>
    <w:rsid w:val="004D0720"/>
    <w:rsid w:val="004D2551"/>
    <w:rsid w:val="004D6BB8"/>
    <w:rsid w:val="004E5B83"/>
    <w:rsid w:val="004F4D62"/>
    <w:rsid w:val="004F704F"/>
    <w:rsid w:val="00500356"/>
    <w:rsid w:val="00512262"/>
    <w:rsid w:val="005140A7"/>
    <w:rsid w:val="00514433"/>
    <w:rsid w:val="005149EB"/>
    <w:rsid w:val="00526E52"/>
    <w:rsid w:val="00534783"/>
    <w:rsid w:val="00543327"/>
    <w:rsid w:val="0054342F"/>
    <w:rsid w:val="0054393E"/>
    <w:rsid w:val="00547099"/>
    <w:rsid w:val="00547D50"/>
    <w:rsid w:val="0055130E"/>
    <w:rsid w:val="00554582"/>
    <w:rsid w:val="00563558"/>
    <w:rsid w:val="0056477A"/>
    <w:rsid w:val="00576795"/>
    <w:rsid w:val="00580E72"/>
    <w:rsid w:val="0058196E"/>
    <w:rsid w:val="00583766"/>
    <w:rsid w:val="00583B64"/>
    <w:rsid w:val="00584337"/>
    <w:rsid w:val="00593258"/>
    <w:rsid w:val="005A63C7"/>
    <w:rsid w:val="005B096E"/>
    <w:rsid w:val="005B4CAA"/>
    <w:rsid w:val="005B52FC"/>
    <w:rsid w:val="005B580E"/>
    <w:rsid w:val="005C0471"/>
    <w:rsid w:val="005D1E70"/>
    <w:rsid w:val="005D392F"/>
    <w:rsid w:val="005D41E9"/>
    <w:rsid w:val="005D6A9F"/>
    <w:rsid w:val="005D6B71"/>
    <w:rsid w:val="005F61EE"/>
    <w:rsid w:val="005F64C9"/>
    <w:rsid w:val="005F78E8"/>
    <w:rsid w:val="006029AB"/>
    <w:rsid w:val="00607A4B"/>
    <w:rsid w:val="006253A2"/>
    <w:rsid w:val="00636CE9"/>
    <w:rsid w:val="00644750"/>
    <w:rsid w:val="006452BE"/>
    <w:rsid w:val="006517BE"/>
    <w:rsid w:val="00667076"/>
    <w:rsid w:val="00672ABC"/>
    <w:rsid w:val="00680BF8"/>
    <w:rsid w:val="00690035"/>
    <w:rsid w:val="006926F8"/>
    <w:rsid w:val="006B4329"/>
    <w:rsid w:val="006C2C89"/>
    <w:rsid w:val="006C5E8E"/>
    <w:rsid w:val="006C7E01"/>
    <w:rsid w:val="006F2484"/>
    <w:rsid w:val="006F38B8"/>
    <w:rsid w:val="006F44D7"/>
    <w:rsid w:val="0070186C"/>
    <w:rsid w:val="00702C43"/>
    <w:rsid w:val="00702FED"/>
    <w:rsid w:val="0071220F"/>
    <w:rsid w:val="00714017"/>
    <w:rsid w:val="007206DE"/>
    <w:rsid w:val="00725C2D"/>
    <w:rsid w:val="00726E58"/>
    <w:rsid w:val="00730351"/>
    <w:rsid w:val="00731E4F"/>
    <w:rsid w:val="00734138"/>
    <w:rsid w:val="00751BF8"/>
    <w:rsid w:val="00761470"/>
    <w:rsid w:val="0076387C"/>
    <w:rsid w:val="007815EF"/>
    <w:rsid w:val="00783152"/>
    <w:rsid w:val="00786FD4"/>
    <w:rsid w:val="00787CF2"/>
    <w:rsid w:val="0079052E"/>
    <w:rsid w:val="007A4A05"/>
    <w:rsid w:val="007A52E4"/>
    <w:rsid w:val="007B09DE"/>
    <w:rsid w:val="007B25D9"/>
    <w:rsid w:val="007B51BC"/>
    <w:rsid w:val="007B5264"/>
    <w:rsid w:val="007B5E76"/>
    <w:rsid w:val="007C19FC"/>
    <w:rsid w:val="007C552D"/>
    <w:rsid w:val="007D0D38"/>
    <w:rsid w:val="007D1519"/>
    <w:rsid w:val="007D6208"/>
    <w:rsid w:val="007D650B"/>
    <w:rsid w:val="007D6678"/>
    <w:rsid w:val="007E7AB8"/>
    <w:rsid w:val="007F00DA"/>
    <w:rsid w:val="008007D7"/>
    <w:rsid w:val="00804AF3"/>
    <w:rsid w:val="00807430"/>
    <w:rsid w:val="00807FF3"/>
    <w:rsid w:val="0081638D"/>
    <w:rsid w:val="00832B08"/>
    <w:rsid w:val="00833752"/>
    <w:rsid w:val="008363FB"/>
    <w:rsid w:val="00840755"/>
    <w:rsid w:val="00840DE9"/>
    <w:rsid w:val="008424C0"/>
    <w:rsid w:val="00846E27"/>
    <w:rsid w:val="0085689D"/>
    <w:rsid w:val="008660C6"/>
    <w:rsid w:val="00867E16"/>
    <w:rsid w:val="00880348"/>
    <w:rsid w:val="00887A6F"/>
    <w:rsid w:val="008948B9"/>
    <w:rsid w:val="008A5316"/>
    <w:rsid w:val="008B2B9B"/>
    <w:rsid w:val="008C6C87"/>
    <w:rsid w:val="008C78FC"/>
    <w:rsid w:val="008D0445"/>
    <w:rsid w:val="008E1643"/>
    <w:rsid w:val="008E3766"/>
    <w:rsid w:val="008E5873"/>
    <w:rsid w:val="008F485B"/>
    <w:rsid w:val="008F4EDC"/>
    <w:rsid w:val="008F79F0"/>
    <w:rsid w:val="00900A5C"/>
    <w:rsid w:val="00902C28"/>
    <w:rsid w:val="0090626C"/>
    <w:rsid w:val="00910D24"/>
    <w:rsid w:val="00913FBA"/>
    <w:rsid w:val="00920AA2"/>
    <w:rsid w:val="0092256B"/>
    <w:rsid w:val="00934122"/>
    <w:rsid w:val="0093636E"/>
    <w:rsid w:val="00940F18"/>
    <w:rsid w:val="00943C80"/>
    <w:rsid w:val="00946BD8"/>
    <w:rsid w:val="00953420"/>
    <w:rsid w:val="00955570"/>
    <w:rsid w:val="00956979"/>
    <w:rsid w:val="009620E1"/>
    <w:rsid w:val="00963FF0"/>
    <w:rsid w:val="00975739"/>
    <w:rsid w:val="00976DA6"/>
    <w:rsid w:val="00980B77"/>
    <w:rsid w:val="00987432"/>
    <w:rsid w:val="009956E8"/>
    <w:rsid w:val="00997073"/>
    <w:rsid w:val="009A2392"/>
    <w:rsid w:val="009A4756"/>
    <w:rsid w:val="009A634E"/>
    <w:rsid w:val="009C4CA6"/>
    <w:rsid w:val="009C5B30"/>
    <w:rsid w:val="009D01BE"/>
    <w:rsid w:val="009D6AF2"/>
    <w:rsid w:val="009E473A"/>
    <w:rsid w:val="009E6D70"/>
    <w:rsid w:val="009F1AA5"/>
    <w:rsid w:val="00A01573"/>
    <w:rsid w:val="00A03E0A"/>
    <w:rsid w:val="00A13A1A"/>
    <w:rsid w:val="00A23B5A"/>
    <w:rsid w:val="00A32362"/>
    <w:rsid w:val="00A45E00"/>
    <w:rsid w:val="00A57756"/>
    <w:rsid w:val="00A63D59"/>
    <w:rsid w:val="00A74094"/>
    <w:rsid w:val="00A7716A"/>
    <w:rsid w:val="00A7749A"/>
    <w:rsid w:val="00A810A0"/>
    <w:rsid w:val="00A90ABA"/>
    <w:rsid w:val="00A92997"/>
    <w:rsid w:val="00AA02B7"/>
    <w:rsid w:val="00AA1E67"/>
    <w:rsid w:val="00AA2E55"/>
    <w:rsid w:val="00AB05A5"/>
    <w:rsid w:val="00AB1412"/>
    <w:rsid w:val="00AB5B36"/>
    <w:rsid w:val="00AB7836"/>
    <w:rsid w:val="00AD1F5F"/>
    <w:rsid w:val="00AD6AE8"/>
    <w:rsid w:val="00AE0195"/>
    <w:rsid w:val="00AF3C8C"/>
    <w:rsid w:val="00AF4A3B"/>
    <w:rsid w:val="00B006FE"/>
    <w:rsid w:val="00B0316B"/>
    <w:rsid w:val="00B03D42"/>
    <w:rsid w:val="00B11071"/>
    <w:rsid w:val="00B110D9"/>
    <w:rsid w:val="00B16CAE"/>
    <w:rsid w:val="00B20140"/>
    <w:rsid w:val="00B26D12"/>
    <w:rsid w:val="00B36CAD"/>
    <w:rsid w:val="00B37853"/>
    <w:rsid w:val="00B400D4"/>
    <w:rsid w:val="00B45125"/>
    <w:rsid w:val="00B50C87"/>
    <w:rsid w:val="00B60841"/>
    <w:rsid w:val="00B62E79"/>
    <w:rsid w:val="00B66EB0"/>
    <w:rsid w:val="00B71F50"/>
    <w:rsid w:val="00B850F9"/>
    <w:rsid w:val="00B977E6"/>
    <w:rsid w:val="00B979FE"/>
    <w:rsid w:val="00B97FF4"/>
    <w:rsid w:val="00BA0BD8"/>
    <w:rsid w:val="00BA478F"/>
    <w:rsid w:val="00BA4C88"/>
    <w:rsid w:val="00BA4F3F"/>
    <w:rsid w:val="00BA5475"/>
    <w:rsid w:val="00BB3D2D"/>
    <w:rsid w:val="00BB6E78"/>
    <w:rsid w:val="00BC42DC"/>
    <w:rsid w:val="00BD24E3"/>
    <w:rsid w:val="00BE2B7B"/>
    <w:rsid w:val="00BE3FF7"/>
    <w:rsid w:val="00BE798F"/>
    <w:rsid w:val="00BF33B1"/>
    <w:rsid w:val="00C03152"/>
    <w:rsid w:val="00C04EB8"/>
    <w:rsid w:val="00C07607"/>
    <w:rsid w:val="00C2000C"/>
    <w:rsid w:val="00C23568"/>
    <w:rsid w:val="00C24072"/>
    <w:rsid w:val="00C31646"/>
    <w:rsid w:val="00C361B0"/>
    <w:rsid w:val="00C46CEC"/>
    <w:rsid w:val="00C51798"/>
    <w:rsid w:val="00C61469"/>
    <w:rsid w:val="00C81F37"/>
    <w:rsid w:val="00C9478E"/>
    <w:rsid w:val="00C9579C"/>
    <w:rsid w:val="00CA14A9"/>
    <w:rsid w:val="00CA22CB"/>
    <w:rsid w:val="00CA6B57"/>
    <w:rsid w:val="00CC177F"/>
    <w:rsid w:val="00CD0638"/>
    <w:rsid w:val="00CD1396"/>
    <w:rsid w:val="00CD7061"/>
    <w:rsid w:val="00CF1FD6"/>
    <w:rsid w:val="00D02D8D"/>
    <w:rsid w:val="00D13737"/>
    <w:rsid w:val="00D21857"/>
    <w:rsid w:val="00D26D61"/>
    <w:rsid w:val="00D30DD0"/>
    <w:rsid w:val="00D33133"/>
    <w:rsid w:val="00D33262"/>
    <w:rsid w:val="00D33CD5"/>
    <w:rsid w:val="00D363D4"/>
    <w:rsid w:val="00D37DAC"/>
    <w:rsid w:val="00D44168"/>
    <w:rsid w:val="00D520C0"/>
    <w:rsid w:val="00D544C2"/>
    <w:rsid w:val="00D60F56"/>
    <w:rsid w:val="00D6717C"/>
    <w:rsid w:val="00D80595"/>
    <w:rsid w:val="00D852DC"/>
    <w:rsid w:val="00D85742"/>
    <w:rsid w:val="00DC0975"/>
    <w:rsid w:val="00DC1C55"/>
    <w:rsid w:val="00DC22E8"/>
    <w:rsid w:val="00DC437E"/>
    <w:rsid w:val="00DC65B1"/>
    <w:rsid w:val="00DD0418"/>
    <w:rsid w:val="00DD703C"/>
    <w:rsid w:val="00DE21DE"/>
    <w:rsid w:val="00DE352F"/>
    <w:rsid w:val="00DE44FD"/>
    <w:rsid w:val="00DE7DF8"/>
    <w:rsid w:val="00DF662F"/>
    <w:rsid w:val="00DF6D74"/>
    <w:rsid w:val="00E00341"/>
    <w:rsid w:val="00E049DE"/>
    <w:rsid w:val="00E05732"/>
    <w:rsid w:val="00E11B2A"/>
    <w:rsid w:val="00E1334D"/>
    <w:rsid w:val="00E14B57"/>
    <w:rsid w:val="00E31609"/>
    <w:rsid w:val="00E31D53"/>
    <w:rsid w:val="00E37D69"/>
    <w:rsid w:val="00E417F3"/>
    <w:rsid w:val="00E5571E"/>
    <w:rsid w:val="00E66B09"/>
    <w:rsid w:val="00E8088F"/>
    <w:rsid w:val="00E92E57"/>
    <w:rsid w:val="00E932B9"/>
    <w:rsid w:val="00E93ADC"/>
    <w:rsid w:val="00EA5B25"/>
    <w:rsid w:val="00EB71BB"/>
    <w:rsid w:val="00EC15FD"/>
    <w:rsid w:val="00EC4642"/>
    <w:rsid w:val="00EC78F5"/>
    <w:rsid w:val="00ED07A7"/>
    <w:rsid w:val="00ED0D0E"/>
    <w:rsid w:val="00ED1DB7"/>
    <w:rsid w:val="00ED1E77"/>
    <w:rsid w:val="00ED5BB9"/>
    <w:rsid w:val="00EE30D0"/>
    <w:rsid w:val="00EE6246"/>
    <w:rsid w:val="00EE62E1"/>
    <w:rsid w:val="00EF11A7"/>
    <w:rsid w:val="00EF190B"/>
    <w:rsid w:val="00EF2A71"/>
    <w:rsid w:val="00EF6426"/>
    <w:rsid w:val="00F0228B"/>
    <w:rsid w:val="00F1137D"/>
    <w:rsid w:val="00F11961"/>
    <w:rsid w:val="00F12DD3"/>
    <w:rsid w:val="00F21152"/>
    <w:rsid w:val="00F22F35"/>
    <w:rsid w:val="00F412AE"/>
    <w:rsid w:val="00F42CAD"/>
    <w:rsid w:val="00F44320"/>
    <w:rsid w:val="00F550F2"/>
    <w:rsid w:val="00F56653"/>
    <w:rsid w:val="00F63CD6"/>
    <w:rsid w:val="00F67EC9"/>
    <w:rsid w:val="00F8080C"/>
    <w:rsid w:val="00F968DA"/>
    <w:rsid w:val="00FA4870"/>
    <w:rsid w:val="00FA487F"/>
    <w:rsid w:val="00FA7CFE"/>
    <w:rsid w:val="00FB21E5"/>
    <w:rsid w:val="00FC1FE3"/>
    <w:rsid w:val="00FD375C"/>
    <w:rsid w:val="00FD4F60"/>
    <w:rsid w:val="00FE25E3"/>
    <w:rsid w:val="00FF01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14FD"/>
  </w:style>
  <w:style w:type="paragraph" w:styleId="Nagwek2">
    <w:name w:val="heading 2"/>
    <w:basedOn w:val="Normalny"/>
    <w:next w:val="Normalny"/>
    <w:link w:val="Nagwek2Znak"/>
    <w:uiPriority w:val="9"/>
    <w:unhideWhenUsed/>
    <w:qFormat/>
    <w:rsid w:val="00EF64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B37853"/>
    <w:pPr>
      <w:keepNext/>
      <w:spacing w:before="240" w:after="60" w:line="240" w:lineRule="auto"/>
      <w:outlineLvl w:val="2"/>
    </w:pPr>
    <w:rPr>
      <w:rFonts w:ascii="Arial" w:eastAsia="Times New Roman" w:hAnsi="Arial"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1E67"/>
    <w:pPr>
      <w:ind w:left="720"/>
      <w:contextualSpacing/>
    </w:pPr>
  </w:style>
  <w:style w:type="character" w:customStyle="1" w:styleId="Nagwek3Znak">
    <w:name w:val="Nagłówek 3 Znak"/>
    <w:basedOn w:val="Domylnaczcionkaakapitu"/>
    <w:link w:val="Nagwek3"/>
    <w:rsid w:val="00B37853"/>
    <w:rPr>
      <w:rFonts w:ascii="Arial" w:eastAsia="Times New Roman" w:hAnsi="Arial" w:cs="Times New Roman"/>
      <w:b/>
      <w:bCs/>
      <w:sz w:val="26"/>
      <w:szCs w:val="26"/>
    </w:rPr>
  </w:style>
  <w:style w:type="character" w:customStyle="1" w:styleId="jrnl">
    <w:name w:val="jrnl"/>
    <w:basedOn w:val="Domylnaczcionkaakapitu"/>
    <w:rsid w:val="00B37853"/>
  </w:style>
  <w:style w:type="character" w:styleId="Hipercze">
    <w:name w:val="Hyperlink"/>
    <w:basedOn w:val="Domylnaczcionkaakapitu"/>
    <w:uiPriority w:val="99"/>
    <w:semiHidden/>
    <w:unhideWhenUsed/>
    <w:rsid w:val="00B37853"/>
    <w:rPr>
      <w:color w:val="0000FF"/>
      <w:u w:val="single"/>
    </w:rPr>
  </w:style>
  <w:style w:type="character" w:customStyle="1" w:styleId="apple-converted-space">
    <w:name w:val="apple-converted-space"/>
    <w:basedOn w:val="Domylnaczcionkaakapitu"/>
    <w:rsid w:val="00B37853"/>
  </w:style>
  <w:style w:type="paragraph" w:styleId="Tekstdymka">
    <w:name w:val="Balloon Text"/>
    <w:basedOn w:val="Normalny"/>
    <w:link w:val="TekstdymkaZnak"/>
    <w:uiPriority w:val="99"/>
    <w:semiHidden/>
    <w:unhideWhenUsed/>
    <w:rsid w:val="001720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2092"/>
    <w:rPr>
      <w:rFonts w:ascii="Tahoma" w:hAnsi="Tahoma" w:cs="Tahoma"/>
      <w:sz w:val="16"/>
      <w:szCs w:val="16"/>
    </w:rPr>
  </w:style>
  <w:style w:type="table" w:styleId="Tabela-Siatka">
    <w:name w:val="Table Grid"/>
    <w:basedOn w:val="Standardowy"/>
    <w:uiPriority w:val="59"/>
    <w:rsid w:val="000C1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EF6426"/>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qFormat/>
    <w:rsid w:val="006F38B8"/>
    <w:rPr>
      <w:b/>
      <w:bCs/>
    </w:rPr>
  </w:style>
  <w:style w:type="paragraph" w:customStyle="1" w:styleId="p1">
    <w:name w:val="p1"/>
    <w:basedOn w:val="Normalny"/>
    <w:rsid w:val="000D4621"/>
    <w:pPr>
      <w:spacing w:after="0" w:line="240" w:lineRule="auto"/>
    </w:pPr>
    <w:rPr>
      <w:rFonts w:ascii="Helvetica" w:hAnsi="Helvetica" w:cs="Times New Roman"/>
      <w:sz w:val="21"/>
      <w:szCs w:val="21"/>
      <w:lang w:eastAsia="pl-PL"/>
    </w:rPr>
  </w:style>
  <w:style w:type="paragraph" w:styleId="Nagwek">
    <w:name w:val="header"/>
    <w:basedOn w:val="Normalny"/>
    <w:link w:val="NagwekZnak"/>
    <w:uiPriority w:val="99"/>
    <w:semiHidden/>
    <w:unhideWhenUsed/>
    <w:rsid w:val="006926F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926F8"/>
  </w:style>
  <w:style w:type="paragraph" w:styleId="Stopka">
    <w:name w:val="footer"/>
    <w:basedOn w:val="Normalny"/>
    <w:link w:val="StopkaZnak"/>
    <w:uiPriority w:val="99"/>
    <w:unhideWhenUsed/>
    <w:rsid w:val="006926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6F8"/>
  </w:style>
</w:styles>
</file>

<file path=word/webSettings.xml><?xml version="1.0" encoding="utf-8"?>
<w:webSettings xmlns:r="http://schemas.openxmlformats.org/officeDocument/2006/relationships" xmlns:w="http://schemas.openxmlformats.org/wordprocessingml/2006/main">
  <w:divs>
    <w:div w:id="1377660602">
      <w:bodyDiv w:val="1"/>
      <w:marLeft w:val="0"/>
      <w:marRight w:val="0"/>
      <w:marTop w:val="0"/>
      <w:marBottom w:val="0"/>
      <w:divBdr>
        <w:top w:val="none" w:sz="0" w:space="0" w:color="auto"/>
        <w:left w:val="none" w:sz="0" w:space="0" w:color="auto"/>
        <w:bottom w:val="none" w:sz="0" w:space="0" w:color="auto"/>
        <w:right w:val="none" w:sz="0" w:space="0" w:color="auto"/>
      </w:divBdr>
      <w:divsChild>
        <w:div w:id="138379021">
          <w:marLeft w:val="360"/>
          <w:marRight w:val="0"/>
          <w:marTop w:val="200"/>
          <w:marBottom w:val="0"/>
          <w:divBdr>
            <w:top w:val="none" w:sz="0" w:space="0" w:color="auto"/>
            <w:left w:val="none" w:sz="0" w:space="0" w:color="auto"/>
            <w:bottom w:val="none" w:sz="0" w:space="0" w:color="auto"/>
            <w:right w:val="none" w:sz="0" w:space="0" w:color="auto"/>
          </w:divBdr>
        </w:div>
      </w:divsChild>
    </w:div>
    <w:div w:id="1776556531">
      <w:bodyDiv w:val="1"/>
      <w:marLeft w:val="0"/>
      <w:marRight w:val="0"/>
      <w:marTop w:val="0"/>
      <w:marBottom w:val="0"/>
      <w:divBdr>
        <w:top w:val="none" w:sz="0" w:space="0" w:color="auto"/>
        <w:left w:val="none" w:sz="0" w:space="0" w:color="auto"/>
        <w:bottom w:val="none" w:sz="0" w:space="0" w:color="auto"/>
        <w:right w:val="none" w:sz="0" w:space="0" w:color="auto"/>
      </w:divBdr>
      <w:divsChild>
        <w:div w:id="389888844">
          <w:marLeft w:val="360"/>
          <w:marRight w:val="0"/>
          <w:marTop w:val="200"/>
          <w:marBottom w:val="0"/>
          <w:divBdr>
            <w:top w:val="none" w:sz="0" w:space="0" w:color="auto"/>
            <w:left w:val="none" w:sz="0" w:space="0" w:color="auto"/>
            <w:bottom w:val="none" w:sz="0" w:space="0" w:color="auto"/>
            <w:right w:val="none" w:sz="0" w:space="0" w:color="auto"/>
          </w:divBdr>
        </w:div>
      </w:divsChild>
    </w:div>
    <w:div w:id="1951428035">
      <w:bodyDiv w:val="1"/>
      <w:marLeft w:val="0"/>
      <w:marRight w:val="0"/>
      <w:marTop w:val="0"/>
      <w:marBottom w:val="0"/>
      <w:divBdr>
        <w:top w:val="none" w:sz="0" w:space="0" w:color="auto"/>
        <w:left w:val="none" w:sz="0" w:space="0" w:color="auto"/>
        <w:bottom w:val="none" w:sz="0" w:space="0" w:color="auto"/>
        <w:right w:val="none" w:sz="0" w:space="0" w:color="auto"/>
      </w:divBdr>
      <w:divsChild>
        <w:div w:id="141126825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6173372" TargetMode="External"/><Relationship Id="rId13" Type="http://schemas.openxmlformats.org/officeDocument/2006/relationships/hyperlink" Target="https://www.ncbi.nlm.nih.gov/pubmed/25539143" TargetMode="External"/><Relationship Id="rId18" Type="http://schemas.openxmlformats.org/officeDocument/2006/relationships/hyperlink" Target="https://www.ncbi.nlm.nih.gov/pubmed/25061884" TargetMode="External"/><Relationship Id="rId26" Type="http://schemas.openxmlformats.org/officeDocument/2006/relationships/hyperlink" Target="https://www.ncbi.nlm.nih.gov/pubmed/28377561" TargetMode="External"/><Relationship Id="rId3" Type="http://schemas.openxmlformats.org/officeDocument/2006/relationships/styles" Target="styles.xml"/><Relationship Id="rId21" Type="http://schemas.openxmlformats.org/officeDocument/2006/relationships/hyperlink" Target="https://www.ncbi.nlm.nih.gov/pubmed/28715066" TargetMode="External"/><Relationship Id="rId7" Type="http://schemas.openxmlformats.org/officeDocument/2006/relationships/endnotes" Target="endnotes.xml"/><Relationship Id="rId12" Type="http://schemas.openxmlformats.org/officeDocument/2006/relationships/hyperlink" Target="https://www.ncbi.nlm.nih.gov/pubmed/26331608" TargetMode="External"/><Relationship Id="rId17" Type="http://schemas.openxmlformats.org/officeDocument/2006/relationships/hyperlink" Target="https://www.ncbi.nlm.nih.gov/pubmed/24815998" TargetMode="External"/><Relationship Id="rId25" Type="http://schemas.openxmlformats.org/officeDocument/2006/relationships/hyperlink" Target="https://www.ncbi.nlm.nih.gov/pubmed/28157253" TargetMode="External"/><Relationship Id="rId2" Type="http://schemas.openxmlformats.org/officeDocument/2006/relationships/numbering" Target="numbering.xml"/><Relationship Id="rId16" Type="http://schemas.openxmlformats.org/officeDocument/2006/relationships/hyperlink" Target="https://www.ncbi.nlm.nih.gov/pubmed/17253432" TargetMode="External"/><Relationship Id="rId20" Type="http://schemas.openxmlformats.org/officeDocument/2006/relationships/hyperlink" Target="https://www.ncbi.nlm.nih.gov/pubmed/2896557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26173372" TargetMode="External"/><Relationship Id="rId24" Type="http://schemas.openxmlformats.org/officeDocument/2006/relationships/hyperlink" Target="https://www.ncbi.nlm.nih.gov/pubmed/28604944" TargetMode="External"/><Relationship Id="rId5" Type="http://schemas.openxmlformats.org/officeDocument/2006/relationships/webSettings" Target="webSettings.xml"/><Relationship Id="rId15" Type="http://schemas.openxmlformats.org/officeDocument/2006/relationships/hyperlink" Target="https://www.ncbi.nlm.nih.gov/pubmed/16575759" TargetMode="External"/><Relationship Id="rId23" Type="http://schemas.openxmlformats.org/officeDocument/2006/relationships/hyperlink" Target="https://www.ncbi.nlm.nih.gov/pubmed/27878800" TargetMode="External"/><Relationship Id="rId28" Type="http://schemas.openxmlformats.org/officeDocument/2006/relationships/hyperlink" Target="https://www.ncbi.nlm.nih.gov/pubmed/27082051" TargetMode="External"/><Relationship Id="rId10" Type="http://schemas.openxmlformats.org/officeDocument/2006/relationships/hyperlink" Target="https://www.ncbi.nlm.nih.gov/pubmed/25539143" TargetMode="External"/><Relationship Id="rId19" Type="http://schemas.openxmlformats.org/officeDocument/2006/relationships/hyperlink" Target="https://www.ncbi.nlm.nih.gov/pubmed/2381940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cbi.nlm.nih.gov/pubmed/26331608" TargetMode="External"/><Relationship Id="rId14" Type="http://schemas.openxmlformats.org/officeDocument/2006/relationships/hyperlink" Target="https://www.ncbi.nlm.nih.gov/pubmed/14510917" TargetMode="External"/><Relationship Id="rId22" Type="http://schemas.openxmlformats.org/officeDocument/2006/relationships/hyperlink" Target="https://www.ncbi.nlm.nih.gov/pubmed/28585682" TargetMode="External"/><Relationship Id="rId27" Type="http://schemas.openxmlformats.org/officeDocument/2006/relationships/hyperlink" Target="https://www.ncbi.nlm.nih.gov/pubmed/28715066"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EE3AC-8A5D-4881-B899-A174C7BD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7346</Words>
  <Characters>44080</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 Ambroziak</dc:creator>
  <cp:lastModifiedBy>Ula Ambroziak</cp:lastModifiedBy>
  <cp:revision>3</cp:revision>
  <dcterms:created xsi:type="dcterms:W3CDTF">2018-04-28T13:12:00Z</dcterms:created>
  <dcterms:modified xsi:type="dcterms:W3CDTF">2018-04-28T16:09:00Z</dcterms:modified>
</cp:coreProperties>
</file>